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方正小标宋_GBK" w:eastAsia="方正小标宋_GBK" w:cs="方正小标宋_GBK"/>
          <w:bCs/>
          <w:sz w:val="44"/>
          <w:szCs w:val="44"/>
        </w:rPr>
      </w:pPr>
    </w:p>
    <w:p>
      <w:pPr>
        <w:spacing w:line="580" w:lineRule="exact"/>
        <w:jc w:val="center"/>
        <w:rPr>
          <w:rFonts w:ascii="方正小标宋_GBK" w:hAnsi="方正小标宋_GBK" w:eastAsia="方正小标宋_GBK" w:cs="方正小标宋_GBK"/>
          <w:bCs/>
          <w:sz w:val="44"/>
          <w:szCs w:val="44"/>
        </w:rPr>
      </w:pPr>
    </w:p>
    <w:p>
      <w:pPr>
        <w:spacing w:line="580" w:lineRule="exact"/>
        <w:jc w:val="center"/>
        <w:rPr>
          <w:rFonts w:ascii="方正小标宋_GBK" w:hAnsi="方正小标宋_GBK" w:eastAsia="方正小标宋_GBK" w:cs="方正小标宋_GBK"/>
          <w:bCs/>
          <w:sz w:val="44"/>
          <w:szCs w:val="44"/>
        </w:rPr>
      </w:pPr>
    </w:p>
    <w:p>
      <w:pPr>
        <w:spacing w:line="580" w:lineRule="exact"/>
        <w:jc w:val="center"/>
        <w:rPr>
          <w:rFonts w:ascii="方正小标宋_GBK" w:hAnsi="方正小标宋_GBK" w:eastAsia="方正小标宋_GBK" w:cs="方正小标宋_GBK"/>
          <w:bCs/>
          <w:sz w:val="44"/>
          <w:szCs w:val="44"/>
        </w:rPr>
      </w:pPr>
    </w:p>
    <w:p>
      <w:pPr>
        <w:spacing w:line="580" w:lineRule="exact"/>
        <w:jc w:val="center"/>
        <w:rPr>
          <w:rFonts w:ascii="方正小标宋_GBK" w:hAnsi="方正小标宋_GBK" w:eastAsia="方正小标宋_GBK" w:cs="方正小标宋_GBK"/>
          <w:bCs/>
          <w:sz w:val="44"/>
          <w:szCs w:val="44"/>
        </w:rPr>
      </w:pPr>
    </w:p>
    <w:p>
      <w:pPr>
        <w:spacing w:line="580" w:lineRule="exact"/>
        <w:jc w:val="center"/>
        <w:rPr>
          <w:rFonts w:ascii="方正小标宋_GBK" w:hAnsi="方正小标宋_GBK" w:eastAsia="方正小标宋_GBK" w:cs="方正小标宋_GBK"/>
          <w:bCs/>
          <w:sz w:val="44"/>
          <w:szCs w:val="44"/>
        </w:rPr>
      </w:pPr>
    </w:p>
    <w:p>
      <w:pPr>
        <w:spacing w:line="540" w:lineRule="exact"/>
        <w:ind w:left="0" w:leftChars="0" w:firstLine="0" w:firstLineChars="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台政</w:t>
      </w:r>
      <w:r>
        <w:rPr>
          <w:rFonts w:hint="eastAsia" w:ascii="仿宋_GB2312" w:hAnsi="仿宋_GB2312" w:eastAsia="仿宋_GB2312" w:cs="仿宋_GB2312"/>
          <w:sz w:val="32"/>
          <w:szCs w:val="32"/>
          <w:lang w:val="en-US" w:eastAsia="zh-CN"/>
        </w:rPr>
        <w:t>办发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bookmarkStart w:id="0" w:name="_GoBack"/>
      <w:bookmarkEnd w:id="0"/>
    </w:p>
    <w:p>
      <w:pPr>
        <w:spacing w:line="540" w:lineRule="exact"/>
        <w:jc w:val="center"/>
        <w:rPr>
          <w:rFonts w:ascii="仿宋_GB2312" w:hAnsi="新宋体" w:eastAsia="仿宋_GB2312"/>
          <w:sz w:val="32"/>
          <w:szCs w:val="32"/>
        </w:rPr>
      </w:pPr>
    </w:p>
    <w:p>
      <w:pPr>
        <w:pStyle w:val="2"/>
        <w:keepNext w:val="0"/>
        <w:keepLines w:val="0"/>
        <w:pageBreakBefore w:val="0"/>
        <w:widowControl w:val="0"/>
        <w:shd w:val="clear" w:color="auto" w:fill="auto"/>
        <w:kinsoku/>
        <w:wordWrap/>
        <w:overflowPunct/>
        <w:topLinePunct w:val="0"/>
        <w:autoSpaceDE/>
        <w:autoSpaceDN/>
        <w:bidi w:val="0"/>
        <w:spacing w:after="0" w:line="560" w:lineRule="exact"/>
        <w:ind w:left="0" w:leftChars="0" w:right="0" w:firstLine="0" w:firstLineChars="0"/>
        <w:jc w:val="center"/>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val="en-US" w:eastAsia="zh-CN"/>
        </w:rPr>
        <w:t>台儿庄区</w:t>
      </w:r>
      <w:r>
        <w:rPr>
          <w:rFonts w:hint="eastAsia" w:ascii="方正小标宋简体" w:hAnsi="方正小标宋简体" w:eastAsia="方正小标宋简体" w:cs="方正小标宋简体"/>
        </w:rPr>
        <w:t>人民政府办公室</w:t>
      </w:r>
    </w:p>
    <w:p>
      <w:pPr>
        <w:keepNext w:val="0"/>
        <w:keepLines w:val="0"/>
        <w:pageBreakBefore w:val="0"/>
        <w:widowControl w:val="0"/>
        <w:kinsoku/>
        <w:wordWrap/>
        <w:overflowPunct/>
        <w:topLinePunct w:val="0"/>
        <w:autoSpaceDE/>
        <w:autoSpaceDN/>
        <w:bidi w:val="0"/>
        <w:adjustRightInd/>
        <w:spacing w:line="560" w:lineRule="exact"/>
        <w:jc w:val="center"/>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关于印发《</w:t>
      </w:r>
      <w:r>
        <w:rPr>
          <w:rFonts w:hint="eastAsia" w:ascii="方正小标宋简体" w:hAnsi="方正小标宋简体" w:eastAsia="方正小标宋简体" w:cs="方正小标宋简体"/>
          <w:color w:val="auto"/>
          <w:sz w:val="44"/>
          <w:szCs w:val="44"/>
          <w:lang w:val="en-US" w:eastAsia="zh-CN"/>
        </w:rPr>
        <w:t>台儿庄区工业企业</w:t>
      </w:r>
      <w:r>
        <w:rPr>
          <w:rFonts w:hint="eastAsia" w:ascii="方正小标宋简体" w:hAnsi="方正小标宋简体" w:eastAsia="方正小标宋简体" w:cs="方正小标宋简体"/>
          <w:color w:val="auto"/>
          <w:sz w:val="44"/>
          <w:szCs w:val="44"/>
        </w:rPr>
        <w:t>“亩产效益”</w:t>
      </w:r>
    </w:p>
    <w:p>
      <w:pPr>
        <w:keepNext w:val="0"/>
        <w:keepLines w:val="0"/>
        <w:pageBreakBefore w:val="0"/>
        <w:widowControl w:val="0"/>
        <w:kinsoku/>
        <w:wordWrap/>
        <w:overflowPunct/>
        <w:topLinePunct w:val="0"/>
        <w:autoSpaceDE/>
        <w:autoSpaceDN/>
        <w:bidi w:val="0"/>
        <w:adjustRightInd/>
        <w:spacing w:line="560" w:lineRule="exact"/>
        <w:jc w:val="center"/>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综合</w:t>
      </w:r>
      <w:r>
        <w:rPr>
          <w:rFonts w:hint="eastAsia" w:ascii="方正小标宋简体" w:hAnsi="方正小标宋简体" w:eastAsia="方正小标宋简体" w:cs="方正小标宋简体"/>
          <w:color w:val="auto"/>
          <w:sz w:val="44"/>
          <w:szCs w:val="44"/>
        </w:rPr>
        <w:t>评价</w:t>
      </w:r>
      <w:r>
        <w:rPr>
          <w:rFonts w:hint="eastAsia" w:ascii="方正小标宋简体" w:hAnsi="方正小标宋简体" w:eastAsia="方正小标宋简体" w:cs="方正小标宋简体"/>
          <w:color w:val="auto"/>
          <w:sz w:val="44"/>
          <w:szCs w:val="44"/>
          <w:lang w:val="en-US" w:eastAsia="zh-CN"/>
        </w:rPr>
        <w:t>工作</w:t>
      </w:r>
      <w:r>
        <w:rPr>
          <w:rFonts w:hint="eastAsia" w:ascii="方正小标宋简体" w:hAnsi="方正小标宋简体" w:eastAsia="方正小标宋简体" w:cs="方正小标宋简体"/>
          <w:color w:val="auto"/>
          <w:sz w:val="44"/>
          <w:szCs w:val="44"/>
        </w:rPr>
        <w:t>实施方案》的通知</w:t>
      </w:r>
    </w:p>
    <w:p>
      <w:pPr>
        <w:keepNext w:val="0"/>
        <w:keepLines w:val="0"/>
        <w:pageBreakBefore w:val="0"/>
        <w:widowControl w:val="0"/>
        <w:kinsoku/>
        <w:wordWrap/>
        <w:overflowPunct/>
        <w:topLinePunct w:val="0"/>
        <w:autoSpaceDE/>
        <w:autoSpaceDN/>
        <w:bidi w:val="0"/>
        <w:adjustRightInd/>
        <w:spacing w:line="560" w:lineRule="exact"/>
        <w:jc w:val="center"/>
        <w:outlineLvl w:val="9"/>
        <w:rPr>
          <w:rFonts w:hint="eastAsia" w:ascii="方正小标宋简体" w:hAnsi="方正小标宋简体" w:eastAsia="方正小标宋简体" w:cs="方正小标宋简体"/>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各镇人民政府、运河街道办事处</w:t>
      </w:r>
      <w:r>
        <w:rPr>
          <w:rFonts w:hint="eastAsia" w:ascii="仿宋_GB2312" w:hAnsi="Times New Roman" w:eastAsia="仿宋_GB2312" w:cs="Times New Roman"/>
          <w:sz w:val="32"/>
          <w:szCs w:val="32"/>
        </w:rPr>
        <w:t>，经济开发区，区</w:t>
      </w:r>
      <w:r>
        <w:rPr>
          <w:rFonts w:hint="eastAsia" w:ascii="仿宋_GB2312" w:hAnsi="Times New Roman" w:eastAsia="仿宋_GB2312" w:cs="Times New Roman"/>
          <w:sz w:val="32"/>
          <w:szCs w:val="32"/>
          <w:lang w:val="en-US" w:eastAsia="zh-CN"/>
        </w:rPr>
        <w:t>直</w:t>
      </w:r>
      <w:r>
        <w:rPr>
          <w:rFonts w:hint="eastAsia" w:ascii="仿宋_GB2312" w:hAnsi="Times New Roman" w:eastAsia="仿宋_GB2312" w:cs="Times New Roman"/>
          <w:sz w:val="32"/>
          <w:szCs w:val="32"/>
        </w:rPr>
        <w:t>各</w:t>
      </w:r>
      <w:r>
        <w:rPr>
          <w:rFonts w:hint="eastAsia" w:ascii="仿宋_GB2312" w:hAnsi="Times New Roman" w:eastAsia="仿宋_GB2312" w:cs="Times New Roman"/>
          <w:sz w:val="32"/>
          <w:szCs w:val="32"/>
          <w:lang w:val="en-US" w:eastAsia="zh-CN"/>
        </w:rPr>
        <w:t>有关</w:t>
      </w:r>
      <w:r>
        <w:rPr>
          <w:rFonts w:hint="eastAsia" w:ascii="仿宋_GB2312" w:hAnsi="Times New Roman" w:eastAsia="仿宋_GB2312" w:cs="Times New Roman"/>
          <w:sz w:val="32"/>
          <w:szCs w:val="32"/>
        </w:rPr>
        <w:t>部门（单位），各</w:t>
      </w:r>
      <w:r>
        <w:rPr>
          <w:rFonts w:hint="eastAsia" w:ascii="仿宋_GB2312" w:hAnsi="Times New Roman" w:eastAsia="仿宋_GB2312" w:cs="Times New Roman"/>
          <w:sz w:val="32"/>
          <w:szCs w:val="32"/>
          <w:lang w:val="en-US" w:eastAsia="zh-CN"/>
        </w:rPr>
        <w:t>大</w:t>
      </w:r>
      <w:r>
        <w:rPr>
          <w:rFonts w:hint="eastAsia" w:ascii="仿宋_GB2312" w:hAnsi="Times New Roman" w:eastAsia="仿宋_GB2312" w:cs="Times New Roman"/>
          <w:sz w:val="32"/>
          <w:szCs w:val="32"/>
        </w:rPr>
        <w:t>企业</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台儿庄区工业企业</w:t>
      </w:r>
      <w:r>
        <w:rPr>
          <w:rFonts w:hint="eastAsia" w:ascii="仿宋_GB2312" w:hAnsi="仿宋_GB2312" w:eastAsia="仿宋_GB2312" w:cs="仿宋_GB2312"/>
          <w:color w:val="auto"/>
          <w:sz w:val="32"/>
          <w:szCs w:val="32"/>
        </w:rPr>
        <w:t>“亩产效益”</w:t>
      </w:r>
      <w:r>
        <w:rPr>
          <w:rFonts w:hint="eastAsia" w:ascii="仿宋_GB2312" w:hAnsi="仿宋_GB2312" w:eastAsia="仿宋_GB2312" w:cs="仿宋_GB2312"/>
          <w:color w:val="auto"/>
          <w:sz w:val="32"/>
          <w:szCs w:val="32"/>
          <w:lang w:val="en-US" w:eastAsia="zh-CN"/>
        </w:rPr>
        <w:t>综合</w:t>
      </w:r>
      <w:r>
        <w:rPr>
          <w:rFonts w:hint="eastAsia" w:ascii="仿宋_GB2312" w:hAnsi="仿宋_GB2312" w:eastAsia="仿宋_GB2312" w:cs="仿宋_GB2312"/>
          <w:color w:val="auto"/>
          <w:sz w:val="32"/>
          <w:szCs w:val="32"/>
        </w:rPr>
        <w:t>评价</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实施方案》</w:t>
      </w:r>
      <w:r>
        <w:rPr>
          <w:rFonts w:hint="eastAsia" w:ascii="仿宋_GB2312" w:hAnsi="仿宋_GB2312" w:eastAsia="仿宋_GB2312" w:cs="仿宋_GB2312"/>
          <w:color w:val="auto"/>
          <w:sz w:val="32"/>
          <w:szCs w:val="32"/>
          <w:lang w:val="en-US" w:eastAsia="zh-CN"/>
        </w:rPr>
        <w:t>已经区政府同意，现</w:t>
      </w:r>
      <w:r>
        <w:rPr>
          <w:rFonts w:hint="eastAsia" w:ascii="仿宋_GB2312" w:hAnsi="仿宋_GB2312" w:eastAsia="仿宋_GB2312" w:cs="仿宋_GB2312"/>
          <w:color w:val="auto"/>
          <w:sz w:val="32"/>
          <w:szCs w:val="32"/>
        </w:rPr>
        <w:t>印发给你们，请结合实际，认真贯彻执行。</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baseline"/>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val="0"/>
        <w:overflowPunct/>
        <w:topLinePunct w:val="0"/>
        <w:autoSpaceDE/>
        <w:autoSpaceDN/>
        <w:bidi w:val="0"/>
        <w:adjustRightInd/>
        <w:snapToGrid w:val="0"/>
        <w:spacing w:line="560" w:lineRule="exact"/>
        <w:ind w:firstLine="4480" w:firstLineChars="1400"/>
        <w:jc w:val="both"/>
        <w:textAlignment w:val="baseline"/>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台儿庄区人民政府办公室</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5040" w:firstLineChars="1575"/>
        <w:textAlignment w:val="baseline"/>
        <w:outlineLvl w:val="9"/>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7</w:t>
      </w:r>
      <w:r>
        <w:rPr>
          <w:rFonts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val="0"/>
        <w:spacing w:line="560" w:lineRule="exact"/>
        <w:ind w:firstLine="533"/>
        <w:textAlignment w:val="baseline"/>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533"/>
        <w:textAlignment w:val="baseline"/>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（此件公开发布）</w:t>
      </w:r>
    </w:p>
    <w:p>
      <w:pPr>
        <w:pStyle w:val="6"/>
        <w:keepNext w:val="0"/>
        <w:keepLines w:val="0"/>
        <w:pageBreakBefore w:val="0"/>
        <w:widowControl w:val="0"/>
        <w:kinsoku/>
        <w:wordWrap/>
        <w:topLinePunct w:val="0"/>
        <w:autoSpaceDE/>
        <w:autoSpaceDN/>
        <w:bidi w:val="0"/>
        <w:adjustRightInd w:val="0"/>
        <w:spacing w:before="0" w:beforeAutospacing="0" w:after="0" w:afterAutospacing="0" w:line="560" w:lineRule="exact"/>
        <w:ind w:left="0" w:leftChars="0" w:right="0"/>
        <w:jc w:val="center"/>
        <w:textAlignment w:val="auto"/>
        <w:rPr>
          <w:rFonts w:hint="eastAsia"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lang w:val="en-US" w:eastAsia="zh-CN"/>
          <w14:textFill>
            <w14:solidFill>
              <w14:schemeClr w14:val="tx1"/>
            </w14:solidFill>
          </w14:textFill>
        </w:rPr>
        <w:t>台儿庄区工业企业</w:t>
      </w:r>
      <w:r>
        <w:rPr>
          <w:rFonts w:hint="eastAsia" w:eastAsia="方正小标宋简体"/>
          <w:color w:val="000000" w:themeColor="text1"/>
          <w:sz w:val="44"/>
          <w:szCs w:val="44"/>
          <w14:textFill>
            <w14:solidFill>
              <w14:schemeClr w14:val="tx1"/>
            </w14:solidFill>
          </w14:textFill>
        </w:rPr>
        <w:t>“亩产效益”</w:t>
      </w:r>
      <w:r>
        <w:rPr>
          <w:rFonts w:hint="eastAsia" w:eastAsia="方正小标宋简体"/>
          <w:color w:val="000000" w:themeColor="text1"/>
          <w:sz w:val="44"/>
          <w:szCs w:val="44"/>
          <w:lang w:val="en-US" w:eastAsia="zh-CN"/>
          <w14:textFill>
            <w14:solidFill>
              <w14:schemeClr w14:val="tx1"/>
            </w14:solidFill>
          </w14:textFill>
        </w:rPr>
        <w:t>综合</w:t>
      </w:r>
      <w:r>
        <w:rPr>
          <w:rFonts w:hint="eastAsia" w:eastAsia="方正小标宋简体"/>
          <w:color w:val="000000" w:themeColor="text1"/>
          <w:sz w:val="44"/>
          <w:szCs w:val="44"/>
          <w14:textFill>
            <w14:solidFill>
              <w14:schemeClr w14:val="tx1"/>
            </w14:solidFill>
          </w14:textFill>
        </w:rPr>
        <w:t>评价</w:t>
      </w:r>
    </w:p>
    <w:p>
      <w:pPr>
        <w:pStyle w:val="6"/>
        <w:keepNext w:val="0"/>
        <w:keepLines w:val="0"/>
        <w:pageBreakBefore w:val="0"/>
        <w:widowControl w:val="0"/>
        <w:kinsoku/>
        <w:wordWrap/>
        <w:topLinePunct w:val="0"/>
        <w:autoSpaceDE/>
        <w:autoSpaceDN/>
        <w:bidi w:val="0"/>
        <w:adjustRightInd w:val="0"/>
        <w:spacing w:before="0" w:beforeAutospacing="0" w:after="0" w:afterAutospacing="0" w:line="560" w:lineRule="exact"/>
        <w:ind w:left="0" w:leftChars="0" w:right="0"/>
        <w:jc w:val="center"/>
        <w:textAlignment w:val="auto"/>
        <w:rPr>
          <w:rFonts w:eastAsia="方正小标宋简体"/>
          <w:color w:val="000000" w:themeColor="text1"/>
          <w:sz w:val="44"/>
          <w:szCs w:val="44"/>
          <w14:textFill>
            <w14:solidFill>
              <w14:schemeClr w14:val="tx1"/>
            </w14:solidFill>
          </w14:textFill>
        </w:rPr>
      </w:pPr>
      <w:r>
        <w:rPr>
          <w:rFonts w:hint="eastAsia" w:eastAsia="方正小标宋简体"/>
          <w:color w:val="000000" w:themeColor="text1"/>
          <w:sz w:val="44"/>
          <w:szCs w:val="44"/>
          <w:lang w:val="en-US" w:eastAsia="zh-CN"/>
          <w14:textFill>
            <w14:solidFill>
              <w14:schemeClr w14:val="tx1"/>
            </w14:solidFill>
          </w14:textFill>
        </w:rPr>
        <w:t>工作</w:t>
      </w:r>
      <w:r>
        <w:rPr>
          <w:rFonts w:hint="eastAsia" w:eastAsia="方正小标宋简体"/>
          <w:color w:val="000000" w:themeColor="text1"/>
          <w:sz w:val="44"/>
          <w:szCs w:val="44"/>
          <w14:textFill>
            <w14:solidFill>
              <w14:schemeClr w14:val="tx1"/>
            </w14:solidFill>
          </w14:textFill>
        </w:rPr>
        <w:t>实施方案</w:t>
      </w:r>
    </w:p>
    <w:p>
      <w:pPr>
        <w:pStyle w:val="6"/>
        <w:keepNext w:val="0"/>
        <w:keepLines w:val="0"/>
        <w:pageBreakBefore w:val="0"/>
        <w:widowControl w:val="0"/>
        <w:kinsoku/>
        <w:wordWrap/>
        <w:topLinePunct w:val="0"/>
        <w:autoSpaceDE/>
        <w:autoSpaceDN/>
        <w:bidi w:val="0"/>
        <w:adjustRightInd w:val="0"/>
        <w:spacing w:before="0" w:beforeAutospacing="0" w:after="0" w:afterAutospacing="0" w:line="560" w:lineRule="exact"/>
        <w:ind w:left="0" w:leftChars="0" w:right="0"/>
        <w:jc w:val="center"/>
        <w:textAlignment w:val="auto"/>
        <w:rPr>
          <w:rFonts w:eastAsia="方正小标宋简体"/>
          <w:color w:val="000000" w:themeColor="text1"/>
          <w:sz w:val="44"/>
          <w:szCs w:val="44"/>
          <w14:textFill>
            <w14:solidFill>
              <w14:schemeClr w14:val="tx1"/>
            </w14:solidFill>
          </w14:textFill>
        </w:rPr>
      </w:pP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为贯彻落实省政府关于开展“亩产效益”评价改革的决策部署，根据《山东省人民政府关于开展“亩产效益”评价改革工作的指导意见》（鲁政字</w:t>
      </w:r>
      <w:r>
        <w:rPr>
          <w:rFonts w:hint="eastAsia" w:ascii="仿宋_GB2312" w:hAnsi="华文楷体" w:eastAsia="仿宋_GB2312"/>
          <w:color w:val="000000" w:themeColor="text1"/>
          <w:sz w:val="32"/>
          <w:szCs w:val="32"/>
          <w14:textFill>
            <w14:solidFill>
              <w14:schemeClr w14:val="tx1"/>
            </w14:solidFill>
          </w14:textFill>
        </w:rPr>
        <w:t>〔2019〕235号</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《关于</w:t>
      </w:r>
      <w:r>
        <w:rPr>
          <w:rFonts w:hint="eastAsia" w:ascii="仿宋_GB2312" w:eastAsia="仿宋_GB2312"/>
          <w:color w:val="000000" w:themeColor="text1"/>
          <w:sz w:val="32"/>
          <w:szCs w:val="32"/>
          <w:lang w:val="en-US" w:eastAsia="zh-CN"/>
          <w14:textFill>
            <w14:solidFill>
              <w14:schemeClr w14:val="tx1"/>
            </w14:solidFill>
          </w14:textFill>
        </w:rPr>
        <w:t>做好2023年“亩产效益”评价改革工作的</w:t>
      </w:r>
      <w:r>
        <w:rPr>
          <w:rFonts w:hint="eastAsia" w:ascii="仿宋_GB2312" w:eastAsia="仿宋_GB2312"/>
          <w:color w:val="000000" w:themeColor="text1"/>
          <w:sz w:val="32"/>
          <w:szCs w:val="32"/>
          <w14:textFill>
            <w14:solidFill>
              <w14:schemeClr w14:val="tx1"/>
            </w14:solidFill>
          </w14:textFill>
        </w:rPr>
        <w:t>通知》（鲁工信</w:t>
      </w:r>
      <w:r>
        <w:rPr>
          <w:rFonts w:hint="eastAsia" w:ascii="仿宋_GB2312" w:eastAsia="仿宋_GB2312"/>
          <w:color w:val="000000" w:themeColor="text1"/>
          <w:sz w:val="32"/>
          <w:szCs w:val="32"/>
          <w:lang w:val="en-US" w:eastAsia="zh-CN"/>
          <w14:textFill>
            <w14:solidFill>
              <w14:schemeClr w14:val="tx1"/>
            </w14:solidFill>
          </w14:textFill>
        </w:rPr>
        <w:t>运</w:t>
      </w:r>
      <w:r>
        <w:rPr>
          <w:rFonts w:hint="eastAsia" w:ascii="仿宋_GB2312" w:eastAsia="仿宋_GB2312"/>
          <w:color w:val="000000" w:themeColor="text1"/>
          <w:sz w:val="32"/>
          <w:szCs w:val="32"/>
          <w14:textFill>
            <w14:solidFill>
              <w14:schemeClr w14:val="tx1"/>
            </w14:solidFill>
          </w14:textFill>
        </w:rPr>
        <w:t>〔20</w:t>
      </w:r>
      <w:r>
        <w:rPr>
          <w:rFonts w:hint="eastAsia" w:ascii="仿宋_GB2312" w:eastAsia="仿宋_GB2312"/>
          <w:color w:val="000000" w:themeColor="text1"/>
          <w:sz w:val="32"/>
          <w:szCs w:val="32"/>
          <w:lang w:val="en-US" w:eastAsia="zh-CN"/>
          <w14:textFill>
            <w14:solidFill>
              <w14:schemeClr w14:val="tx1"/>
            </w14:solidFill>
          </w14:textFill>
        </w:rPr>
        <w:t>23</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103</w:t>
      </w:r>
      <w:r>
        <w:rPr>
          <w:rFonts w:hint="eastAsia" w:ascii="仿宋_GB2312" w:eastAsia="仿宋_GB2312"/>
          <w:color w:val="000000" w:themeColor="text1"/>
          <w:sz w:val="32"/>
          <w:szCs w:val="32"/>
          <w14:textFill>
            <w14:solidFill>
              <w14:schemeClr w14:val="tx1"/>
            </w14:solidFill>
          </w14:textFill>
        </w:rPr>
        <w:t>号）等文件要求，结合我区实际，制定本实施方案。</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黑体" w:cs="Times New Roman"/>
          <w:color w:val="000000" w:themeColor="text1"/>
          <w:sz w:val="32"/>
          <w:szCs w:val="32"/>
          <w14:textFill>
            <w14:solidFill>
              <w14:schemeClr w14:val="tx1"/>
            </w14:solidFill>
          </w14:textFill>
        </w:rPr>
      </w:pPr>
      <w:r>
        <w:rPr>
          <w:rFonts w:hint="eastAsia" w:eastAsia="黑体"/>
          <w:color w:val="000000" w:themeColor="text1"/>
          <w:sz w:val="32"/>
          <w:szCs w:val="32"/>
          <w14:textFill>
            <w14:solidFill>
              <w14:schemeClr w14:val="tx1"/>
            </w14:solidFill>
          </w14:textFill>
        </w:rPr>
        <w:t>一、开展工业企业分类综合评价</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（一）评价办法</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建立以质量和效益为导向的工业企业分类综合评价机制，深入推进资源要素市场化配置，实施资源要素差别化配置政策，提高全要素生产率，促进工业新旧动能转换和高质量发展。</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1.基本原则</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0" w:firstLineChars="200"/>
        <w:jc w:val="both"/>
        <w:textAlignment w:val="auto"/>
        <w:rPr>
          <w:rFonts w:hint="eastAsia" w:ascii="楷体_GB2312" w:hAnsi="楷体" w:eastAsia="楷体_GB2312" w:cs="楷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综合评价指标体系坚持科学性、规范性和真实性原则。</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①科学性。通过科学设置评价指标体系和指标权重，引导企业树立“亩产效益”和“创新发展”理念。</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②规范性。按照国家和省、市相关部门的规范性定义对综合评价指标进行解释。</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③真实性。综合评价指标具有可统计性和可验证性，确保评价指标数据原始真实。</w:t>
      </w:r>
    </w:p>
    <w:p>
      <w:pPr>
        <w:pStyle w:val="6"/>
        <w:keepNext w:val="0"/>
        <w:keepLines w:val="0"/>
        <w:pageBreakBefore w:val="0"/>
        <w:widowControl w:val="0"/>
        <w:tabs>
          <w:tab w:val="left" w:pos="6125"/>
        </w:tabs>
        <w:kinsoku/>
        <w:wordWrap/>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Times New Roman" w:hAnsi="Times New Roman" w:eastAsia="楷体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2.评价企业范围</w:t>
      </w:r>
    </w:p>
    <w:p>
      <w:pPr>
        <w:keepNext w:val="0"/>
        <w:keepLines w:val="0"/>
        <w:pageBreakBefore w:val="0"/>
        <w:widowControl w:val="0"/>
        <w:kinsoku/>
        <w:wordWrap/>
        <w:overflowPunct w:val="0"/>
        <w:topLinePunct w:val="0"/>
        <w:autoSpaceDE/>
        <w:autoSpaceDN/>
        <w:bidi w:val="0"/>
        <w:snapToGrid/>
        <w:spacing w:line="560" w:lineRule="exact"/>
        <w:ind w:left="0" w:leftChars="0" w:right="0"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全区范围内的</w:t>
      </w:r>
      <w:r>
        <w:rPr>
          <w:rFonts w:hint="eastAsia" w:ascii="仿宋_GB2312" w:eastAsia="仿宋_GB2312"/>
          <w:color w:val="000000" w:themeColor="text1"/>
          <w:sz w:val="32"/>
          <w:szCs w:val="32"/>
          <w14:textFill>
            <w14:solidFill>
              <w14:schemeClr w14:val="tx1"/>
            </w14:solidFill>
          </w14:textFill>
        </w:rPr>
        <w:t>工业企业</w:t>
      </w:r>
      <w:r>
        <w:rPr>
          <w:rFonts w:hint="eastAsia" w:ascii="仿宋_GB2312" w:hAnsi="仿宋_GB2312" w:eastAsia="仿宋_GB2312" w:cs="仿宋_GB2312"/>
          <w:color w:val="000000" w:themeColor="text1"/>
          <w:sz w:val="32"/>
          <w:szCs w:val="32"/>
          <w14:textFill>
            <w14:solidFill>
              <w14:schemeClr w14:val="tx1"/>
            </w14:solidFill>
          </w14:textFill>
        </w:rPr>
        <w:t>，包括规模以上和规模以下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占地1亩以上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两部分。</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3.评价指标及得分设置</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0" w:firstLineChars="200"/>
        <w:jc w:val="both"/>
        <w:textAlignment w:val="auto"/>
        <w:rPr>
          <w:rFonts w:hint="eastAsia" w:ascii="仿宋" w:hAnsi="仿宋" w:eastAsia="仿宋_GB2312"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分为规模以上工业企业和规模以下工业企业两个口径进行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评分，</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综合评价总分</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均为</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100分。</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①规模以上工业企业评价指标：</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亩均</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税收（</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4</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0分）、研发经费投入强度（10分）、单位污染物排放销售收入（</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5</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分）、单位能耗销售收入（</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10</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分）、全员劳动生产率（5分）、亩均销售收入（15分）</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综合素质（15分）</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②规模以下工业企业评价指标：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亩均</w:t>
      </w:r>
      <w:r>
        <w:rPr>
          <w:rFonts w:hint="eastAsia" w:ascii="仿宋_GB2312" w:hAnsi="仿宋_GB2312" w:eastAsia="仿宋_GB2312" w:cs="仿宋_GB2312"/>
          <w:color w:val="000000" w:themeColor="text1"/>
          <w:sz w:val="32"/>
          <w:szCs w:val="32"/>
          <w14:textFill>
            <w14:solidFill>
              <w14:schemeClr w14:val="tx1"/>
            </w14:solidFill>
          </w14:textFill>
        </w:rPr>
        <w:t>税收（70分）、亩均销售收入（15分）、综合素质（15分）。</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4.主要指标</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计算方法</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亩均</w:t>
      </w:r>
      <w:r>
        <w:rPr>
          <w:rFonts w:hint="eastAsia" w:ascii="仿宋_GB2312" w:hAnsi="仿宋_GB2312" w:eastAsia="仿宋_GB2312" w:cs="仿宋_GB2312"/>
          <w:color w:val="000000" w:themeColor="text1"/>
          <w:sz w:val="32"/>
          <w:szCs w:val="32"/>
          <w14:textFill>
            <w14:solidFill>
              <w14:schemeClr w14:val="tx1"/>
            </w14:solidFill>
          </w14:textFill>
        </w:rPr>
        <w:t>税收（单位：万元/亩）</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亩均</w:t>
      </w:r>
      <w:r>
        <w:rPr>
          <w:rFonts w:hint="eastAsia" w:ascii="仿宋_GB2312" w:hAnsi="仿宋_GB2312" w:eastAsia="仿宋_GB2312" w:cs="仿宋_GB2312"/>
          <w:color w:val="000000" w:themeColor="text1"/>
          <w:sz w:val="32"/>
          <w:szCs w:val="32"/>
          <w14:textFill>
            <w14:solidFill>
              <w14:schemeClr w14:val="tx1"/>
            </w14:solidFill>
          </w14:textFill>
        </w:rPr>
        <w:t>税收＝税收实际贡献／用地面积</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②单位能耗销售收入（单位：万元/吨标准煤）</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单位能耗销售收入=销售收入/总能耗</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③单位污染物排放销售收入（单位：万元/当量吨）</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单位污染物排放销售收入=销售收入/主要污染物排放量</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④研发经费投入强度（单位：%）</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研发经费投入强度=研发经费支出/销售收入</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⑤全员劳动生产率（单位：万元/人）</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全员劳动生产率=工业总产值（现价）/年平均职工人数</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⑥亩均销售收入（单位：万元/亩）</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亩均销售收入=销售收入/用地面积</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加分项</w:t>
      </w:r>
      <w:r>
        <w:rPr>
          <w:rFonts w:hint="eastAsia" w:ascii="仿宋_GB2312" w:hAnsi="仿宋_GB2312" w:eastAsia="仿宋_GB2312" w:cs="仿宋_GB2312"/>
          <w:color w:val="000000" w:themeColor="text1"/>
          <w:sz w:val="32"/>
          <w:szCs w:val="32"/>
          <w14:textFill>
            <w14:solidFill>
              <w14:schemeClr w14:val="tx1"/>
            </w14:solidFill>
          </w14:textFill>
        </w:rPr>
        <w:t>（单位：分）</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为引导和鼓励企业创新发展、绿色发展、守法经营等，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特</w:t>
      </w:r>
      <w:r>
        <w:rPr>
          <w:rFonts w:hint="eastAsia" w:ascii="仿宋_GB2312" w:hAnsi="仿宋_GB2312" w:eastAsia="仿宋_GB2312" w:cs="仿宋_GB2312"/>
          <w:color w:val="000000" w:themeColor="text1"/>
          <w:sz w:val="32"/>
          <w:szCs w:val="32"/>
          <w14:textFill>
            <w14:solidFill>
              <w14:schemeClr w14:val="tx1"/>
            </w14:solidFill>
          </w14:textFill>
        </w:rPr>
        <w:t>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加分项，对符合下列条件的评价企业，在原评价分数基础上给予加分，最高得分15分。</w:t>
      </w:r>
    </w:p>
    <w:p>
      <w:pPr>
        <w:pStyle w:val="6"/>
        <w:keepNext w:val="0"/>
        <w:keepLines w:val="0"/>
        <w:pageBreakBefore w:val="0"/>
        <w:widowControl w:val="0"/>
        <w:numPr>
          <w:ilvl w:val="0"/>
          <w:numId w:val="0"/>
        </w:numPr>
        <w:kinsoku/>
        <w:wordWrap/>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科技创新平台和重大专项</w:t>
      </w:r>
      <w:r>
        <w:rPr>
          <w:rFonts w:hint="eastAsia" w:ascii="仿宋_GB2312" w:hAnsi="仿宋_GB2312" w:eastAsia="仿宋_GB2312" w:cs="仿宋_GB2312"/>
          <w:color w:val="000000" w:themeColor="text1"/>
          <w:sz w:val="32"/>
          <w:szCs w:val="32"/>
          <w14:textFill>
            <w14:solidFill>
              <w14:schemeClr w14:val="tx1"/>
            </w14:solidFill>
          </w14:textFill>
        </w:rPr>
        <w:t>：国家级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分、省级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分、市级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（区发展改革局、区科技局、区工业和信息化局、区人力资源社会保障局负责认定）</w:t>
      </w:r>
    </w:p>
    <w:p>
      <w:pPr>
        <w:pStyle w:val="6"/>
        <w:keepNext w:val="0"/>
        <w:keepLines w:val="0"/>
        <w:pageBreakBefore w:val="0"/>
        <w:widowControl w:val="0"/>
        <w:numPr>
          <w:ilvl w:val="0"/>
          <w:numId w:val="0"/>
        </w:numPr>
        <w:kinsoku/>
        <w:wordWrap/>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税收和收入：年税收总额超1000万元的企业2分；年税收总额500万元—1000万元的企业1分;年销售收入超10亿元的企业2分；年销售收入5亿元—10亿元的企业1分，同一企业最高不超过3分；</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（区税务局负责认定）</w:t>
      </w:r>
    </w:p>
    <w:p>
      <w:pPr>
        <w:pStyle w:val="6"/>
        <w:keepNext w:val="0"/>
        <w:keepLines w:val="0"/>
        <w:pageBreakBefore w:val="0"/>
        <w:widowControl w:val="0"/>
        <w:numPr>
          <w:ilvl w:val="0"/>
          <w:numId w:val="0"/>
        </w:numPr>
        <w:kinsoku/>
        <w:wordWrap/>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品牌：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国家级3分、省级2分、市级1分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（区市场监管局负责认定）</w:t>
      </w:r>
    </w:p>
    <w:p>
      <w:pPr>
        <w:pStyle w:val="6"/>
        <w:keepNext w:val="0"/>
        <w:keepLines w:val="0"/>
        <w:pageBreakBefore w:val="0"/>
        <w:widowControl w:val="0"/>
        <w:numPr>
          <w:ilvl w:val="0"/>
          <w:numId w:val="0"/>
        </w:numPr>
        <w:kinsoku/>
        <w:wordWrap/>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质量</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国家级3分、省级2分、市级1分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（区市场监管局负责认定）</w:t>
      </w:r>
    </w:p>
    <w:p>
      <w:pPr>
        <w:pStyle w:val="6"/>
        <w:keepNext w:val="0"/>
        <w:keepLines w:val="0"/>
        <w:pageBreakBefore w:val="0"/>
        <w:widowControl w:val="0"/>
        <w:numPr>
          <w:ilvl w:val="0"/>
          <w:numId w:val="0"/>
        </w:numPr>
        <w:kinsoku/>
        <w:wordWrap/>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主持或参与</w:t>
      </w:r>
      <w:r>
        <w:rPr>
          <w:rFonts w:hint="eastAsia" w:ascii="仿宋_GB2312" w:hAnsi="仿宋_GB2312" w:eastAsia="仿宋_GB2312" w:cs="仿宋_GB2312"/>
          <w:color w:val="000000" w:themeColor="text1"/>
          <w:sz w:val="32"/>
          <w:szCs w:val="32"/>
          <w14:textFill>
            <w14:solidFill>
              <w14:schemeClr w14:val="tx1"/>
            </w14:solidFill>
          </w14:textFill>
        </w:rPr>
        <w:t>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修订标准，</w:t>
      </w:r>
      <w:r>
        <w:rPr>
          <w:rFonts w:hint="eastAsia" w:ascii="仿宋_GB2312" w:hAnsi="仿宋_GB2312" w:eastAsia="仿宋_GB2312" w:cs="仿宋_GB2312"/>
          <w:color w:val="000000" w:themeColor="text1"/>
          <w:sz w:val="32"/>
          <w:szCs w:val="32"/>
          <w14:textFill>
            <w14:solidFill>
              <w14:schemeClr w14:val="tx1"/>
            </w14:solidFill>
          </w14:textFill>
        </w:rPr>
        <w:t>国际标准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4分、</w:t>
      </w:r>
      <w:r>
        <w:rPr>
          <w:rFonts w:hint="eastAsia" w:ascii="仿宋_GB2312" w:hAnsi="仿宋_GB2312" w:eastAsia="仿宋_GB2312" w:cs="仿宋_GB2312"/>
          <w:color w:val="000000" w:themeColor="text1"/>
          <w:sz w:val="32"/>
          <w:szCs w:val="32"/>
          <w14:textFill>
            <w14:solidFill>
              <w14:schemeClr w14:val="tx1"/>
            </w14:solidFill>
          </w14:textFill>
        </w:rPr>
        <w:t>国家标准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行业标准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团体标准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分；</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（区市场监管局负责认定）</w:t>
      </w:r>
    </w:p>
    <w:p>
      <w:pPr>
        <w:pStyle w:val="6"/>
        <w:keepNext w:val="0"/>
        <w:keepLines w:val="0"/>
        <w:pageBreakBefore w:val="0"/>
        <w:widowControl w:val="0"/>
        <w:numPr>
          <w:ilvl w:val="0"/>
          <w:numId w:val="0"/>
        </w:numPr>
        <w:kinsoku/>
        <w:wordWrap/>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智能升级：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数字化车间、智能工厂、智能制造试点示范企业等，国家级3分、省级2分、市级1分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（区工业和信息化局负责认定）</w:t>
      </w:r>
    </w:p>
    <w:p>
      <w:pPr>
        <w:pStyle w:val="6"/>
        <w:keepNext w:val="0"/>
        <w:keepLines w:val="0"/>
        <w:pageBreakBefore w:val="0"/>
        <w:widowControl w:val="0"/>
        <w:numPr>
          <w:ilvl w:val="0"/>
          <w:numId w:val="0"/>
        </w:numPr>
        <w:kinsoku/>
        <w:wordWrap/>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技术改造：获得技术改造奖补，</w:t>
      </w:r>
      <w:r>
        <w:rPr>
          <w:rFonts w:hint="eastAsia" w:ascii="仿宋_GB2312" w:hAnsi="仿宋_GB2312" w:eastAsia="仿宋_GB2312" w:cs="仿宋_GB2312"/>
          <w:color w:val="000000" w:themeColor="text1"/>
          <w:sz w:val="32"/>
          <w:szCs w:val="32"/>
          <w14:textFill>
            <w14:solidFill>
              <w14:schemeClr w14:val="tx1"/>
            </w14:solidFill>
          </w14:textFill>
        </w:rPr>
        <w:t>国家级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3分、省级2分、市级1分；</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（区工业和信息化局负责认定）</w:t>
      </w:r>
    </w:p>
    <w:p>
      <w:pPr>
        <w:pStyle w:val="6"/>
        <w:keepNext w:val="0"/>
        <w:keepLines w:val="0"/>
        <w:pageBreakBefore w:val="0"/>
        <w:widowControl w:val="0"/>
        <w:numPr>
          <w:ilvl w:val="0"/>
          <w:numId w:val="0"/>
        </w:numPr>
        <w:kinsoku/>
        <w:wordWrap/>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安全生产标准化：通过一级评审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通过二级评审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通过三级评审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分；</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（区应急管理局负责认定）</w:t>
      </w:r>
    </w:p>
    <w:p>
      <w:pPr>
        <w:pStyle w:val="6"/>
        <w:keepNext w:val="0"/>
        <w:keepLines w:val="0"/>
        <w:pageBreakBefore w:val="0"/>
        <w:widowControl w:val="0"/>
        <w:numPr>
          <w:ilvl w:val="0"/>
          <w:numId w:val="0"/>
        </w:numPr>
        <w:kinsoku/>
        <w:wordWrap/>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（9）</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绿色环保：绿色工厂2分；</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（区工业和信息化局负责认定）</w:t>
      </w:r>
    </w:p>
    <w:p>
      <w:pPr>
        <w:pStyle w:val="6"/>
        <w:keepNext w:val="0"/>
        <w:keepLines w:val="0"/>
        <w:pageBreakBefore w:val="0"/>
        <w:widowControl w:val="0"/>
        <w:numPr>
          <w:ilvl w:val="0"/>
          <w:numId w:val="0"/>
        </w:numPr>
        <w:kinsoku/>
        <w:wordWrap/>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诚信纳税：A级纳税信用1分；</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（区税务局负责认定）</w:t>
      </w:r>
    </w:p>
    <w:p>
      <w:pPr>
        <w:pStyle w:val="6"/>
        <w:keepNext w:val="0"/>
        <w:keepLines w:val="0"/>
        <w:pageBreakBefore w:val="0"/>
        <w:widowControl w:val="0"/>
        <w:numPr>
          <w:ilvl w:val="0"/>
          <w:numId w:val="0"/>
        </w:numPr>
        <w:kinsoku/>
        <w:wordWrap/>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发明专利：近3年内有发明专利授权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每1件0.5分，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同一企业</w:t>
      </w:r>
      <w:r>
        <w:rPr>
          <w:rFonts w:hint="eastAsia" w:ascii="仿宋_GB2312" w:hAnsi="仿宋_GB2312" w:eastAsia="仿宋_GB2312" w:cs="仿宋_GB2312"/>
          <w:color w:val="000000" w:themeColor="text1"/>
          <w:sz w:val="32"/>
          <w:szCs w:val="32"/>
          <w14:textFill>
            <w14:solidFill>
              <w14:schemeClr w14:val="tx1"/>
            </w14:solidFill>
          </w14:textFill>
        </w:rPr>
        <w:t>最高不超过3分；</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（区市场监管局负责认定）</w:t>
      </w:r>
    </w:p>
    <w:p>
      <w:pPr>
        <w:pStyle w:val="6"/>
        <w:keepNext w:val="0"/>
        <w:keepLines w:val="0"/>
        <w:pageBreakBefore w:val="0"/>
        <w:widowControl w:val="0"/>
        <w:numPr>
          <w:ilvl w:val="0"/>
          <w:numId w:val="0"/>
        </w:numPr>
        <w:kinsoku/>
        <w:wordWrap/>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劳动关系和谐企业：省级及以上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分、市级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分；</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（区人力资源社会保障局负责认定）</w:t>
      </w:r>
    </w:p>
    <w:p>
      <w:pPr>
        <w:pStyle w:val="6"/>
        <w:keepNext w:val="0"/>
        <w:keepLines w:val="0"/>
        <w:pageBreakBefore w:val="0"/>
        <w:widowControl w:val="0"/>
        <w:numPr>
          <w:ilvl w:val="0"/>
          <w:numId w:val="0"/>
        </w:numPr>
        <w:kinsoku/>
        <w:wordWrap/>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企业认定：高新技术企业、龙头骨干型工业企业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创新型成长企业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技术创新示范企业、</w:t>
      </w:r>
      <w:r>
        <w:rPr>
          <w:rFonts w:hint="eastAsia" w:ascii="仿宋_GB2312" w:hAnsi="仿宋_GB2312" w:eastAsia="仿宋_GB2312" w:cs="仿宋_GB2312"/>
          <w:color w:val="000000" w:themeColor="text1"/>
          <w:sz w:val="32"/>
          <w:szCs w:val="32"/>
          <w14:textFill>
            <w14:solidFill>
              <w14:schemeClr w14:val="tx1"/>
            </w14:solidFill>
          </w14:textFill>
        </w:rPr>
        <w:t>瞪羚企业、独角兽企业、制造业单项冠军、专精特新企业等，国家级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分、省级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分、市级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分；</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（区科技局、区工业和信息化局负责认定）</w:t>
      </w:r>
    </w:p>
    <w:p>
      <w:pPr>
        <w:pStyle w:val="6"/>
        <w:keepNext w:val="0"/>
        <w:keepLines w:val="0"/>
        <w:pageBreakBefore w:val="0"/>
        <w:widowControl w:val="0"/>
        <w:numPr>
          <w:ilvl w:val="0"/>
          <w:numId w:val="0"/>
        </w:numPr>
        <w:kinsoku/>
        <w:wordWrap/>
        <w:topLinePunct w:val="0"/>
        <w:autoSpaceDE/>
        <w:autoSpaceDN/>
        <w:bidi w:val="0"/>
        <w:adjustRightInd w:val="0"/>
        <w:snapToGrid/>
        <w:spacing w:before="0" w:beforeAutospacing="0" w:after="0" w:afterAutospacing="0" w:line="560" w:lineRule="exact"/>
        <w:ind w:left="0" w:leftChars="0" w:right="0" w:rightChars="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引进高层次人才：国家级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分、省级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分、市级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（区委组织部、区人力资源社会保障局负责认定）</w:t>
      </w:r>
    </w:p>
    <w:p>
      <w:pPr>
        <w:keepNext w:val="0"/>
        <w:keepLines w:val="0"/>
        <w:pageBreakBefore w:val="0"/>
        <w:widowControl w:val="0"/>
        <w:tabs>
          <w:tab w:val="left" w:pos="772"/>
        </w:tabs>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（15）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上市企业：</w:t>
      </w:r>
      <w:r>
        <w:rPr>
          <w:rFonts w:hint="eastAsia" w:ascii="仿宋_GB2312" w:hAnsi="仿宋_GB2312" w:eastAsia="仿宋_GB2312" w:cs="仿宋_GB2312"/>
          <w:color w:val="000000" w:themeColor="text1"/>
          <w:sz w:val="32"/>
          <w:szCs w:val="32"/>
          <w14:textFill>
            <w14:solidFill>
              <w14:schemeClr w14:val="tx1"/>
            </w14:solidFill>
          </w14:textFill>
        </w:rPr>
        <w:t>在主板、中小板、创业板上市5分；在新三板上市2分；在境外市场上市1分；完成规范化公司制改制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（区金融服务中心负责认定）</w:t>
      </w:r>
    </w:p>
    <w:p>
      <w:pPr>
        <w:pStyle w:val="3"/>
        <w:keepNext w:val="0"/>
        <w:keepLines w:val="0"/>
        <w:pageBreakBefore w:val="0"/>
        <w:widowControl w:val="0"/>
        <w:kinsoku/>
        <w:wordWrap/>
        <w:topLinePunct w:val="0"/>
        <w:autoSpaceDE/>
        <w:autoSpaceDN/>
        <w:bidi w:val="0"/>
        <w:snapToGrid/>
        <w:spacing w:line="560" w:lineRule="exact"/>
        <w:ind w:left="0" w:leftChars="0" w:right="0"/>
        <w:jc w:val="both"/>
        <w:textAlignment w:val="auto"/>
        <w:rPr>
          <w:rFonts w:hAnsiTheme="minorHAnsi"/>
          <w:color w:val="000000" w:themeColor="text1"/>
          <w:szCs w:val="32"/>
          <w14:textFill>
            <w14:solidFill>
              <w14:schemeClr w14:val="tx1"/>
            </w14:solidFill>
          </w14:textFill>
        </w:rPr>
      </w:pPr>
      <w:r>
        <w:rPr>
          <w:rFonts w:hint="eastAsia" w:hAnsiTheme="minorHAnsi"/>
          <w:color w:val="000000" w:themeColor="text1"/>
          <w:szCs w:val="32"/>
          <w14:textFill>
            <w14:solidFill>
              <w14:schemeClr w14:val="tx1"/>
            </w14:solidFill>
          </w14:textFill>
        </w:rPr>
        <w:t>企业获得上述所列项目以外的国家级、省级、市级荣誉认定或奖项等，由企业自主申报，主管部门审核，经</w:t>
      </w:r>
      <w:r>
        <w:rPr>
          <w:rFonts w:hint="eastAsia" w:hAnsiTheme="minorHAnsi"/>
          <w:color w:val="000000" w:themeColor="text1"/>
          <w:szCs w:val="32"/>
          <w:lang w:val="en-US" w:eastAsia="zh-CN"/>
          <w14:textFill>
            <w14:solidFill>
              <w14:schemeClr w14:val="tx1"/>
            </w14:solidFill>
          </w14:textFill>
        </w:rPr>
        <w:t>评价改革</w:t>
      </w:r>
      <w:r>
        <w:rPr>
          <w:rFonts w:hint="eastAsia" w:hAnsiTheme="minorHAnsi"/>
          <w:color w:val="000000" w:themeColor="text1"/>
          <w:szCs w:val="32"/>
          <w14:textFill>
            <w14:solidFill>
              <w14:schemeClr w14:val="tx1"/>
            </w14:solidFill>
          </w14:textFill>
        </w:rPr>
        <w:t>工作领导小组研究同意后，按照“国家级荣誉、认定或奖项等最高加</w:t>
      </w:r>
      <w:r>
        <w:rPr>
          <w:rFonts w:hint="eastAsia" w:hAnsiTheme="minorHAnsi"/>
          <w:color w:val="000000" w:themeColor="text1"/>
          <w:szCs w:val="32"/>
          <w:lang w:val="en-US" w:eastAsia="zh-CN"/>
          <w14:textFill>
            <w14:solidFill>
              <w14:schemeClr w14:val="tx1"/>
            </w14:solidFill>
          </w14:textFill>
        </w:rPr>
        <w:t>3</w:t>
      </w:r>
      <w:r>
        <w:rPr>
          <w:rFonts w:hint="eastAsia" w:hAnsiTheme="minorHAnsi"/>
          <w:color w:val="000000" w:themeColor="text1"/>
          <w:szCs w:val="32"/>
          <w14:textFill>
            <w14:solidFill>
              <w14:schemeClr w14:val="tx1"/>
            </w14:solidFill>
          </w14:textFill>
        </w:rPr>
        <w:t>分，省级最高加</w:t>
      </w:r>
      <w:r>
        <w:rPr>
          <w:rFonts w:hint="eastAsia" w:hAnsiTheme="minorHAnsi"/>
          <w:color w:val="000000" w:themeColor="text1"/>
          <w:szCs w:val="32"/>
          <w:lang w:val="en-US" w:eastAsia="zh-CN"/>
          <w14:textFill>
            <w14:solidFill>
              <w14:schemeClr w14:val="tx1"/>
            </w14:solidFill>
          </w14:textFill>
        </w:rPr>
        <w:t>2</w:t>
      </w:r>
      <w:r>
        <w:rPr>
          <w:rFonts w:hint="eastAsia" w:hAnsiTheme="minorHAnsi"/>
          <w:color w:val="000000" w:themeColor="text1"/>
          <w:szCs w:val="32"/>
          <w14:textFill>
            <w14:solidFill>
              <w14:schemeClr w14:val="tx1"/>
            </w14:solidFill>
          </w14:textFill>
        </w:rPr>
        <w:t>分，市级最高加</w:t>
      </w:r>
      <w:r>
        <w:rPr>
          <w:rFonts w:hint="eastAsia" w:hAnsiTheme="minorHAnsi"/>
          <w:color w:val="000000" w:themeColor="text1"/>
          <w:szCs w:val="32"/>
          <w:lang w:val="en-US" w:eastAsia="zh-CN"/>
          <w14:textFill>
            <w14:solidFill>
              <w14:schemeClr w14:val="tx1"/>
            </w14:solidFill>
          </w14:textFill>
        </w:rPr>
        <w:t>1</w:t>
      </w:r>
      <w:r>
        <w:rPr>
          <w:rFonts w:hint="eastAsia" w:hAnsiTheme="minorHAnsi"/>
          <w:color w:val="000000" w:themeColor="text1"/>
          <w:szCs w:val="32"/>
          <w14:textFill>
            <w14:solidFill>
              <w14:schemeClr w14:val="tx1"/>
            </w14:solidFill>
          </w14:textFill>
        </w:rPr>
        <w:t>分”的办法，予以相应加分。</w:t>
      </w:r>
    </w:p>
    <w:p>
      <w:pPr>
        <w:pStyle w:val="3"/>
        <w:keepNext w:val="0"/>
        <w:keepLines w:val="0"/>
        <w:pageBreakBefore w:val="0"/>
        <w:widowControl w:val="0"/>
        <w:kinsoku/>
        <w:wordWrap/>
        <w:topLinePunct w:val="0"/>
        <w:autoSpaceDE/>
        <w:autoSpaceDN/>
        <w:bidi w:val="0"/>
        <w:snapToGrid/>
        <w:spacing w:line="560" w:lineRule="exact"/>
        <w:ind w:left="0" w:leftChars="0" w:right="0"/>
        <w:jc w:val="both"/>
        <w:textAlignment w:val="auto"/>
        <w:rPr>
          <w:rFonts w:hint="eastAsia" w:hAnsiTheme="minorHAnsi"/>
          <w:color w:val="000000" w:themeColor="text1"/>
          <w:szCs w:val="32"/>
          <w14:textFill>
            <w14:solidFill>
              <w14:schemeClr w14:val="tx1"/>
            </w14:solidFill>
          </w14:textFill>
        </w:rPr>
      </w:pPr>
      <w:r>
        <w:rPr>
          <w:rFonts w:hint="eastAsia" w:hAnsiTheme="minorHAnsi"/>
          <w:color w:val="000000" w:themeColor="text1"/>
          <w:szCs w:val="32"/>
          <w14:textFill>
            <w14:solidFill>
              <w14:schemeClr w14:val="tx1"/>
            </w14:solidFill>
          </w14:textFill>
        </w:rPr>
        <w:t>所有</w:t>
      </w:r>
      <w:r>
        <w:rPr>
          <w:rFonts w:hint="eastAsia" w:hAnsiTheme="minorHAnsi"/>
          <w:color w:val="000000" w:themeColor="text1"/>
          <w:szCs w:val="32"/>
          <w:lang w:val="en-US" w:eastAsia="zh-CN"/>
          <w14:textFill>
            <w14:solidFill>
              <w14:schemeClr w14:val="tx1"/>
            </w14:solidFill>
          </w14:textFill>
        </w:rPr>
        <w:t>单项指标加分取最高分，</w:t>
      </w:r>
      <w:r>
        <w:rPr>
          <w:rFonts w:hint="eastAsia" w:hAnsiTheme="minorHAnsi"/>
          <w:color w:val="000000" w:themeColor="text1"/>
          <w:szCs w:val="32"/>
          <w14:textFill>
            <w14:solidFill>
              <w14:schemeClr w14:val="tx1"/>
            </w14:solidFill>
          </w14:textFill>
        </w:rPr>
        <w:t>累</w:t>
      </w:r>
      <w:r>
        <w:rPr>
          <w:rFonts w:hint="eastAsia" w:hAnsiTheme="minorHAnsi"/>
          <w:color w:val="000000" w:themeColor="text1"/>
          <w:szCs w:val="32"/>
          <w:lang w:val="en-US" w:eastAsia="zh-CN"/>
          <w14:textFill>
            <w14:solidFill>
              <w14:schemeClr w14:val="tx1"/>
            </w14:solidFill>
          </w14:textFill>
        </w:rPr>
        <w:t>计</w:t>
      </w:r>
      <w:r>
        <w:rPr>
          <w:rFonts w:hint="eastAsia" w:hAnsiTheme="minorHAnsi"/>
          <w:color w:val="000000" w:themeColor="text1"/>
          <w:szCs w:val="32"/>
          <w14:textFill>
            <w14:solidFill>
              <w14:schemeClr w14:val="tx1"/>
            </w14:solidFill>
          </w14:textFill>
        </w:rPr>
        <w:t>最高不超过15分。</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⑧减分项</w:t>
      </w:r>
      <w:r>
        <w:rPr>
          <w:rFonts w:hint="eastAsia" w:ascii="仿宋_GB2312" w:hAnsi="仿宋_GB2312" w:eastAsia="仿宋_GB2312" w:cs="仿宋_GB2312"/>
          <w:color w:val="000000" w:themeColor="text1"/>
          <w:sz w:val="32"/>
          <w:szCs w:val="32"/>
          <w14:textFill>
            <w14:solidFill>
              <w14:schemeClr w14:val="tx1"/>
            </w14:solidFill>
          </w14:textFill>
        </w:rPr>
        <w:t>（单位：分）</w:t>
      </w:r>
    </w:p>
    <w:p>
      <w:pPr>
        <w:pStyle w:val="6"/>
        <w:keepNext w:val="0"/>
        <w:keepLines w:val="0"/>
        <w:pageBreakBefore w:val="0"/>
        <w:widowControl w:val="0"/>
        <w:kinsoku/>
        <w:wordWrap/>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因产品质量问题被行政处罚的企业减3分，存在安全生产隐患被行政处罚的企业减3分，未完成节能降耗任务被行政处罚的企业减3分。</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（区市场监管局、区应急管理局、区发展改革局负责认定）</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bCs/>
          <w:color w:val="000000" w:themeColor="text1"/>
          <w:sz w:val="32"/>
          <w:szCs w:val="32"/>
          <w14:textFill>
            <w14:solidFill>
              <w14:schemeClr w14:val="tx1"/>
            </w14:solidFill>
          </w14:textFill>
        </w:rPr>
        <w:t>综合评价得分计算方法</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bidi="ar"/>
          <w14:textFill>
            <w14:solidFill>
              <w14:schemeClr w14:val="tx1"/>
            </w14:solidFill>
          </w14:textFill>
        </w:rPr>
        <w:t>企业综合评价得分=∑（企业各指标值÷指标基准值）×指标权重+</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加分项-减分项。</w:t>
      </w:r>
      <w:r>
        <w:rPr>
          <w:rFonts w:hint="eastAsia" w:ascii="仿宋_GB2312" w:eastAsia="仿宋_GB2312"/>
          <w:color w:val="000000" w:themeColor="text1"/>
          <w:sz w:val="32"/>
          <w:szCs w:val="32"/>
          <w14:textFill>
            <w14:solidFill>
              <w14:schemeClr w14:val="tx1"/>
            </w14:solidFill>
          </w14:textFill>
        </w:rPr>
        <w:t>某项指标空缺时，该项得分为</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其中</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确无排放的企业，单位污染物排放销售收入指标得权重分。</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0" w:firstLineChars="200"/>
        <w:jc w:val="both"/>
        <w:textAlignment w:val="auto"/>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指标基准值：为既充分体现优势企业与低效企业间的差距，又避免因差距过大导致失真</w:t>
      </w:r>
      <w:r>
        <w:rPr>
          <w:rFonts w:hint="eastAsia" w:ascii="仿宋_GB2312" w:eastAsia="仿宋_GB2312"/>
          <w:color w:val="000000" w:themeColor="text1"/>
          <w:sz w:val="32"/>
          <w:szCs w:val="32"/>
          <w:lang w:val="en-US" w:eastAsia="zh-CN"/>
          <w14:textFill>
            <w14:solidFill>
              <w14:schemeClr w14:val="tx1"/>
            </w14:solidFill>
          </w14:textFill>
        </w:rPr>
        <w:t>而设置的分值。</w:t>
      </w:r>
      <w:r>
        <w:rPr>
          <w:rFonts w:hint="eastAsia" w:ascii="仿宋_GB2312" w:eastAsia="仿宋_GB2312"/>
          <w:color w:val="000000" w:themeColor="text1"/>
          <w:sz w:val="32"/>
          <w:szCs w:val="32"/>
          <w14:textFill>
            <w14:solidFill>
              <w14:schemeClr w14:val="tx1"/>
            </w14:solidFill>
          </w14:textFill>
        </w:rPr>
        <w:t>各项评价指标的基准值</w:t>
      </w:r>
      <w:r>
        <w:rPr>
          <w:rFonts w:hint="eastAsia" w:ascii="仿宋_GB2312" w:eastAsia="仿宋_GB2312"/>
          <w:color w:val="000000" w:themeColor="text1"/>
          <w:sz w:val="32"/>
          <w:szCs w:val="32"/>
          <w:lang w:val="en-US" w:eastAsia="zh-CN"/>
          <w14:textFill>
            <w14:solidFill>
              <w14:schemeClr w14:val="tx1"/>
            </w14:solidFill>
          </w14:textFill>
        </w:rPr>
        <w:t>以</w:t>
      </w:r>
      <w:r>
        <w:rPr>
          <w:rFonts w:hint="eastAsia" w:ascii="仿宋_GB2312" w:eastAsia="仿宋_GB2312"/>
          <w:color w:val="000000" w:themeColor="text1"/>
          <w:sz w:val="32"/>
          <w:szCs w:val="32"/>
          <w14:textFill>
            <w14:solidFill>
              <w14:schemeClr w14:val="tx1"/>
            </w14:solidFill>
          </w14:textFill>
        </w:rPr>
        <w:t>参照</w:t>
      </w:r>
      <w:r>
        <w:rPr>
          <w:rFonts w:hint="eastAsia" w:ascii="仿宋_GB2312" w:eastAsia="仿宋_GB2312"/>
          <w:color w:val="000000" w:themeColor="text1"/>
          <w:sz w:val="32"/>
          <w:szCs w:val="32"/>
          <w:lang w:val="en-US" w:eastAsia="zh-CN"/>
          <w14:textFill>
            <w14:solidFill>
              <w14:schemeClr w14:val="tx1"/>
            </w14:solidFill>
          </w14:textFill>
        </w:rPr>
        <w:t>当年</w:t>
      </w:r>
      <w:r>
        <w:rPr>
          <w:rFonts w:hint="eastAsia" w:ascii="仿宋_GB2312" w:eastAsia="仿宋_GB2312"/>
          <w:color w:val="000000" w:themeColor="text1"/>
          <w:sz w:val="32"/>
          <w:szCs w:val="32"/>
          <w14:textFill>
            <w14:solidFill>
              <w14:schemeClr w14:val="tx1"/>
            </w14:solidFill>
          </w14:textFill>
        </w:rPr>
        <w:t>该项指标全区平均值并适当浮动的原则确定。</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3" w:firstLineChars="200"/>
        <w:jc w:val="both"/>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b/>
          <w:bCs/>
          <w:color w:val="000000" w:themeColor="text1"/>
          <w:sz w:val="32"/>
          <w:szCs w:val="32"/>
          <w14:textFill>
            <w14:solidFill>
              <w14:schemeClr w14:val="tx1"/>
            </w14:solidFill>
          </w14:textFill>
        </w:rPr>
        <w:t>.评价时间及程序</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每年评价一次，</w:t>
      </w:r>
      <w:r>
        <w:rPr>
          <w:rFonts w:hint="eastAsia" w:ascii="仿宋_GB2312" w:eastAsia="仿宋_GB2312"/>
          <w:color w:val="000000" w:themeColor="text1"/>
          <w:sz w:val="32"/>
          <w:szCs w:val="32"/>
          <w:lang w:eastAsia="zh-CN"/>
          <w14:textFill>
            <w14:solidFill>
              <w14:schemeClr w14:val="tx1"/>
            </w14:solidFill>
          </w14:textFill>
        </w:rPr>
        <w:t>按照省、市各级</w:t>
      </w:r>
      <w:r>
        <w:rPr>
          <w:rFonts w:hint="eastAsia" w:ascii="仿宋_GB2312" w:eastAsia="仿宋_GB2312"/>
          <w:color w:val="000000" w:themeColor="text1"/>
          <w:sz w:val="32"/>
          <w:szCs w:val="32"/>
          <w:lang w:val="en-US" w:eastAsia="zh-CN"/>
          <w14:textFill>
            <w14:solidFill>
              <w14:schemeClr w14:val="tx1"/>
            </w14:solidFill>
          </w14:textFill>
        </w:rPr>
        <w:t>时间</w:t>
      </w:r>
      <w:r>
        <w:rPr>
          <w:rFonts w:hint="eastAsia" w:ascii="仿宋_GB2312" w:eastAsia="仿宋_GB2312"/>
          <w:color w:val="000000" w:themeColor="text1"/>
          <w:sz w:val="32"/>
          <w:szCs w:val="32"/>
          <w:lang w:eastAsia="zh-CN"/>
          <w14:textFill>
            <w14:solidFill>
              <w14:schemeClr w14:val="tx1"/>
            </w14:solidFill>
          </w14:textFill>
        </w:rPr>
        <w:t>部署要求</w:t>
      </w:r>
      <w:r>
        <w:rPr>
          <w:rFonts w:hint="eastAsia" w:ascii="仿宋_GB2312" w:eastAsia="仿宋_GB2312"/>
          <w:color w:val="000000" w:themeColor="text1"/>
          <w:sz w:val="32"/>
          <w:szCs w:val="32"/>
          <w14:textFill>
            <w14:solidFill>
              <w14:schemeClr w14:val="tx1"/>
            </w14:solidFill>
          </w14:textFill>
        </w:rPr>
        <w:t>完成对上年度</w:t>
      </w:r>
      <w:r>
        <w:rPr>
          <w:rFonts w:hint="eastAsia" w:ascii="仿宋_GB2312" w:eastAsia="仿宋_GB2312"/>
          <w:color w:val="000000" w:themeColor="text1"/>
          <w:sz w:val="32"/>
          <w:szCs w:val="32"/>
          <w:lang w:val="en-US" w:eastAsia="zh-CN"/>
          <w14:textFill>
            <w14:solidFill>
              <w14:schemeClr w14:val="tx1"/>
            </w14:solidFill>
          </w14:textFill>
        </w:rPr>
        <w:t>企业</w:t>
      </w:r>
      <w:r>
        <w:rPr>
          <w:rFonts w:hint="eastAsia" w:ascii="仿宋_GB2312" w:eastAsia="仿宋_GB2312"/>
          <w:color w:val="000000" w:themeColor="text1"/>
          <w:sz w:val="32"/>
          <w:szCs w:val="32"/>
          <w14:textFill>
            <w14:solidFill>
              <w14:schemeClr w14:val="tx1"/>
            </w14:solidFill>
          </w14:textFill>
        </w:rPr>
        <w:t>的综合评价工作。</w:t>
      </w:r>
    </w:p>
    <w:p>
      <w:pPr>
        <w:pStyle w:val="6"/>
        <w:keepNext w:val="0"/>
        <w:keepLines w:val="0"/>
        <w:pageBreakBefore w:val="0"/>
        <w:widowControl w:val="0"/>
        <w:kinsoku/>
        <w:wordWrap/>
        <w:overflowPunct w:val="0"/>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ascii="仿宋_GB2312" w:eastAsia="仿宋_GB2312" w:cstheme="minorBidi"/>
          <w:color w:val="000000" w:themeColor="text1"/>
          <w:kern w:val="2"/>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①</w:t>
      </w:r>
      <w:r>
        <w:rPr>
          <w:rFonts w:hint="eastAsia" w:ascii="仿宋_GB2312" w:hAnsi="仿宋_GB2312" w:eastAsia="仿宋_GB2312" w:cs="仿宋_GB2312"/>
          <w:b w:val="0"/>
          <w:bCs w:val="0"/>
          <w:color w:val="000000" w:themeColor="text1"/>
          <w:kern w:val="2"/>
          <w:sz w:val="32"/>
          <w:szCs w:val="32"/>
          <w14:textFill>
            <w14:solidFill>
              <w14:schemeClr w14:val="tx1"/>
            </w14:solidFill>
          </w14:textFill>
        </w:rPr>
        <w:t>数据采集。</w:t>
      </w:r>
      <w:r>
        <w:rPr>
          <w:rFonts w:hint="eastAsia" w:ascii="仿宋_GB2312" w:hAnsi="仿宋_GB2312" w:eastAsia="仿宋_GB2312" w:cs="仿宋_GB2312"/>
          <w:color w:val="000000" w:themeColor="text1"/>
          <w:sz w:val="32"/>
          <w:szCs w:val="32"/>
          <w14:textFill>
            <w14:solidFill>
              <w14:schemeClr w14:val="tx1"/>
            </w14:solidFill>
          </w14:textFill>
        </w:rPr>
        <w:t>建立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14:textFill>
            <w14:solidFill>
              <w14:schemeClr w14:val="tx1"/>
            </w14:solidFill>
          </w14:textFill>
        </w:rPr>
        <w:t>协同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数据采集机制，由区工业和信息化局总牵头，区委组织部、区法院、经济开发区、区</w:t>
      </w:r>
      <w:r>
        <w:rPr>
          <w:rFonts w:hint="eastAsia" w:ascii="仿宋_GB2312" w:hAnsi="仿宋_GB2312" w:eastAsia="仿宋_GB2312" w:cs="仿宋_GB2312"/>
          <w:color w:val="000000" w:themeColor="text1"/>
          <w:sz w:val="32"/>
          <w:szCs w:val="32"/>
          <w14:textFill>
            <w14:solidFill>
              <w14:schemeClr w14:val="tx1"/>
            </w14:solidFill>
          </w14:textFill>
        </w:rPr>
        <w:t>发展改革局、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科技局、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人力资源社会保障局、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自然资源局、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城乡水务局、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应急管理局、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审批服务局、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市场监管局、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统计局、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税务局、</w:t>
      </w:r>
      <w:r>
        <w:rPr>
          <w:rFonts w:hint="eastAsia" w:ascii="仿宋_GB2312" w:hAnsi="仿宋_GB2312" w:eastAsia="仿宋_GB2312" w:cs="仿宋_GB2312"/>
          <w:color w:val="000000" w:themeColor="text1"/>
          <w:sz w:val="32"/>
          <w:szCs w:val="32"/>
          <w:lang w:eastAsia="zh-CN"/>
          <w14:textFill>
            <w14:solidFill>
              <w14:schemeClr w14:val="tx1"/>
            </w14:solidFill>
          </w14:textFill>
        </w:rPr>
        <w:t>区生态环境分局</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金融服务中心、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各镇（街）、各企业等紧密配合，完善部门涉企信息共享机制，</w:t>
      </w:r>
      <w:r>
        <w:rPr>
          <w:rFonts w:hint="eastAsia" w:ascii="仿宋_GB2312" w:hAnsi="仿宋_GB2312" w:eastAsia="仿宋_GB2312" w:cs="仿宋_GB2312"/>
          <w:color w:val="000000" w:themeColor="text1"/>
          <w:sz w:val="32"/>
          <w:szCs w:val="32"/>
          <w14:textFill>
            <w14:solidFill>
              <w14:schemeClr w14:val="tx1"/>
            </w14:solidFill>
          </w14:textFill>
        </w:rPr>
        <w:t>按照“谁主管、谁统计、谁负责”的原则，共同做好数据采集各环节工作，确保数据可靠、真实、完整。</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②数据核对。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数据由企业填报的，相关部门予以核准，</w:t>
      </w:r>
      <w:r>
        <w:rPr>
          <w:rFonts w:hint="eastAsia" w:ascii="仿宋_GB2312" w:hAnsi="仿宋_GB2312" w:eastAsia="仿宋_GB2312" w:cs="仿宋_GB2312"/>
          <w:color w:val="000000" w:themeColor="text1"/>
          <w:sz w:val="32"/>
          <w:szCs w:val="32"/>
          <w14:textFill>
            <w14:solidFill>
              <w14:schemeClr w14:val="tx1"/>
            </w14:solidFill>
          </w14:textFill>
        </w:rPr>
        <w:t>电子版和纸质版（加盖单位公章）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材料送区</w:t>
      </w:r>
      <w:r>
        <w:rPr>
          <w:rFonts w:hint="eastAsia" w:ascii="仿宋_GB2312" w:hAnsi="仿宋_GB2312" w:eastAsia="仿宋_GB2312" w:cs="仿宋_GB2312"/>
          <w:color w:val="000000" w:themeColor="text1"/>
          <w:sz w:val="32"/>
          <w:szCs w:val="32"/>
          <w14:textFill>
            <w14:solidFill>
              <w14:schemeClr w14:val="tx1"/>
            </w14:solidFill>
          </w14:textFill>
        </w:rPr>
        <w:t>工业和信息化局汇总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数据由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相关部门提供的，</w:t>
      </w:r>
      <w:r>
        <w:rPr>
          <w:rFonts w:hint="eastAsia" w:ascii="仿宋_GB2312" w:hAnsi="仿宋_GB2312" w:eastAsia="仿宋_GB2312" w:cs="仿宋_GB2312"/>
          <w:color w:val="000000" w:themeColor="text1"/>
          <w:sz w:val="32"/>
          <w:szCs w:val="32"/>
          <w14:textFill>
            <w14:solidFill>
              <w14:schemeClr w14:val="tx1"/>
            </w14:solidFill>
          </w14:textFill>
        </w:rPr>
        <w:t>数据来源部门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w:t>
      </w:r>
      <w:r>
        <w:rPr>
          <w:rFonts w:hint="eastAsia" w:ascii="仿宋_GB2312" w:hAnsi="仿宋_GB2312" w:eastAsia="仿宋_GB2312" w:cs="仿宋_GB2312"/>
          <w:color w:val="000000" w:themeColor="text1"/>
          <w:sz w:val="32"/>
          <w:szCs w:val="32"/>
          <w14:textFill>
            <w14:solidFill>
              <w14:schemeClr w14:val="tx1"/>
            </w14:solidFill>
          </w14:textFill>
        </w:rPr>
        <w:t>电子版和纸质版（加盖单位公章）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材料</w:t>
      </w:r>
      <w:r>
        <w:rPr>
          <w:rFonts w:hint="eastAsia" w:ascii="仿宋_GB2312" w:hAnsi="仿宋_GB2312" w:eastAsia="仿宋_GB2312" w:cs="仿宋_GB2312"/>
          <w:color w:val="000000" w:themeColor="text1"/>
          <w:sz w:val="32"/>
          <w:szCs w:val="32"/>
          <w14:textFill>
            <w14:solidFill>
              <w14:schemeClr w14:val="tx1"/>
            </w14:solidFill>
          </w14:textFill>
        </w:rPr>
        <w:t>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工业和信息化局汇总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并统一征求企业意见，企业提出异议的，由相关职能部门予以核实调整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③系统评定。</w:t>
      </w:r>
      <w:r>
        <w:rPr>
          <w:rFonts w:hint="eastAsia" w:ascii="仿宋_GB2312" w:hAnsi="仿宋_GB2312" w:eastAsia="仿宋_GB2312" w:cs="仿宋_GB2312"/>
          <w:color w:val="000000" w:themeColor="text1"/>
          <w:sz w:val="32"/>
          <w:szCs w:val="32"/>
          <w14:textFill>
            <w14:solidFill>
              <w14:schemeClr w14:val="tx1"/>
            </w14:solidFill>
          </w14:textFill>
        </w:rPr>
        <w:t>数据核实无误后，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录入</w:t>
      </w:r>
      <w:r>
        <w:rPr>
          <w:rFonts w:hint="eastAsia" w:ascii="仿宋_GB2312" w:hAnsi="仿宋_GB2312" w:eastAsia="仿宋_GB2312" w:cs="仿宋_GB2312"/>
          <w:color w:val="000000" w:themeColor="text1"/>
          <w:sz w:val="32"/>
          <w:szCs w:val="32"/>
          <w14:textFill>
            <w14:solidFill>
              <w14:schemeClr w14:val="tx1"/>
            </w14:solidFill>
          </w14:textFill>
        </w:rPr>
        <w:t>省“亩产效益”评价系统对工业企业进行综合评价，将企业分为A类（优先发展类）、B类（支持发展类）、C类（提升发展类）、D类（限制发展类）。原则上，A类企业比例不超过20%，D类企业比例不低于5%。</w:t>
      </w:r>
    </w:p>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14:textFill>
            <w14:solidFill>
              <w14:schemeClr w14:val="tx1"/>
            </w14:solidFill>
          </w14:textFill>
        </w:rPr>
        <w:t>④结果公示。</w:t>
      </w:r>
      <w:r>
        <w:rPr>
          <w:rFonts w:hint="eastAsia" w:ascii="仿宋_GB2312" w:hAnsi="仿宋_GB2312" w:eastAsia="仿宋_GB2312" w:cs="仿宋_GB2312"/>
          <w:color w:val="000000" w:themeColor="text1"/>
          <w:sz w:val="32"/>
          <w:szCs w:val="32"/>
          <w14:textFill>
            <w14:solidFill>
              <w14:schemeClr w14:val="tx1"/>
            </w14:solidFill>
          </w14:textFill>
        </w:rPr>
        <w:t>在评价结果核对无误的基础上，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将评价结果予以公示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公示期间，对被评价企业存有的异议进行审核和处置</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⑤结果运用。</w:t>
      </w:r>
      <w:r>
        <w:rPr>
          <w:rFonts w:hint="eastAsia" w:ascii="仿宋_GB2312" w:hAnsi="仿宋_GB2312" w:eastAsia="仿宋_GB2312" w:cs="仿宋_GB2312"/>
          <w:color w:val="000000" w:themeColor="text1"/>
          <w:sz w:val="32"/>
          <w:szCs w:val="32"/>
          <w14:textFill>
            <w14:solidFill>
              <w14:schemeClr w14:val="tx1"/>
            </w14:solidFill>
          </w14:textFill>
        </w:rPr>
        <w:t>评价结果公示无异议后，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由区政府公布并发</w:t>
      </w:r>
      <w:r>
        <w:rPr>
          <w:rFonts w:hint="eastAsia" w:ascii="仿宋_GB2312" w:hAnsi="仿宋_GB2312" w:eastAsia="仿宋_GB2312" w:cs="仿宋_GB2312"/>
          <w:color w:val="000000" w:themeColor="text1"/>
          <w:sz w:val="32"/>
          <w:szCs w:val="32"/>
          <w14:textFill>
            <w14:solidFill>
              <w14:schemeClr w14:val="tx1"/>
            </w14:solidFill>
          </w14:textFill>
        </w:rPr>
        <w:t>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w:t>
      </w:r>
      <w:r>
        <w:rPr>
          <w:rFonts w:hint="eastAsia" w:ascii="仿宋_GB2312" w:hAnsi="仿宋_GB2312" w:eastAsia="仿宋_GB2312" w:cs="仿宋_GB2312"/>
          <w:color w:val="000000" w:themeColor="text1"/>
          <w:sz w:val="32"/>
          <w:szCs w:val="32"/>
          <w14:textFill>
            <w14:solidFill>
              <w14:schemeClr w14:val="tx1"/>
            </w14:solidFill>
          </w14:textFill>
        </w:rPr>
        <w:t>有关职能部门，实施评价结果应用。</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（二）评价分类</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1.企业分类标准。</w:t>
      </w:r>
      <w:r>
        <w:rPr>
          <w:rFonts w:hint="eastAsia" w:ascii="仿宋_GB2312" w:hAnsi="仿宋_GB2312" w:eastAsia="仿宋_GB2312" w:cs="仿宋_GB2312"/>
          <w:color w:val="000000" w:themeColor="text1"/>
          <w:sz w:val="32"/>
          <w:szCs w:val="32"/>
          <w14:textFill>
            <w14:solidFill>
              <w14:schemeClr w14:val="tx1"/>
            </w14:solidFill>
          </w14:textFill>
        </w:rPr>
        <w:t>按照规模以上和规模以下两个口径，依据综合评价得分，原则上从高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到</w:t>
      </w:r>
      <w:r>
        <w:rPr>
          <w:rFonts w:hint="eastAsia" w:ascii="仿宋_GB2312" w:hAnsi="仿宋_GB2312" w:eastAsia="仿宋_GB2312" w:cs="仿宋_GB2312"/>
          <w:color w:val="000000" w:themeColor="text1"/>
          <w:sz w:val="32"/>
          <w:szCs w:val="32"/>
          <w14:textFill>
            <w14:solidFill>
              <w14:schemeClr w14:val="tx1"/>
            </w14:solidFill>
          </w14:textFill>
        </w:rPr>
        <w:t>低将企业分为A、B、C、D四类。具体评价分类如下：</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A类</w:t>
      </w:r>
      <w:r>
        <w:rPr>
          <w:rFonts w:hint="eastAsia" w:ascii="仿宋_GB2312" w:hAnsi="仿宋_GB2312" w:eastAsia="仿宋_GB2312" w:cs="仿宋_GB2312"/>
          <w:color w:val="000000" w:themeColor="text1"/>
          <w:sz w:val="32"/>
          <w:szCs w:val="32"/>
          <w14:textFill>
            <w14:solidFill>
              <w14:schemeClr w14:val="tx1"/>
            </w14:solidFill>
          </w14:textFill>
        </w:rPr>
        <w:t>为优先发展类，指单位资源占用产出高，经营效益好，税收贡献大的企业；</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B类</w:t>
      </w:r>
      <w:r>
        <w:rPr>
          <w:rFonts w:hint="eastAsia" w:ascii="仿宋_GB2312" w:hAnsi="仿宋_GB2312" w:eastAsia="仿宋_GB2312" w:cs="仿宋_GB2312"/>
          <w:color w:val="000000" w:themeColor="text1"/>
          <w:sz w:val="32"/>
          <w:szCs w:val="32"/>
          <w14:textFill>
            <w14:solidFill>
              <w14:schemeClr w14:val="tx1"/>
            </w14:solidFill>
          </w14:textFill>
        </w:rPr>
        <w:t>为鼓励发展类，指经营效益较好，但发展水平需要进一步提升的企业；</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C类</w:t>
      </w:r>
      <w:r>
        <w:rPr>
          <w:rFonts w:hint="eastAsia" w:ascii="仿宋_GB2312" w:hAnsi="仿宋_GB2312" w:eastAsia="仿宋_GB2312" w:cs="仿宋_GB2312"/>
          <w:color w:val="000000" w:themeColor="text1"/>
          <w:sz w:val="32"/>
          <w:szCs w:val="32"/>
          <w14:textFill>
            <w14:solidFill>
              <w14:schemeClr w14:val="tx1"/>
            </w14:solidFill>
          </w14:textFill>
        </w:rPr>
        <w:t>为提升发展类，指效益与贡献相对较差，需要进行转型提升的企业；</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D类</w:t>
      </w:r>
      <w:r>
        <w:rPr>
          <w:rFonts w:hint="eastAsia" w:ascii="仿宋_GB2312" w:hAnsi="仿宋_GB2312" w:eastAsia="仿宋_GB2312" w:cs="仿宋_GB2312"/>
          <w:color w:val="000000" w:themeColor="text1"/>
          <w:sz w:val="32"/>
          <w:szCs w:val="32"/>
          <w14:textFill>
            <w14:solidFill>
              <w14:schemeClr w14:val="tx1"/>
            </w14:solidFill>
          </w14:textFill>
        </w:rPr>
        <w:t>为限制发展类，指发展水平落后，综合效益差，需要重点整治的企业。</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3" w:firstLineChars="200"/>
        <w:textAlignment w:val="auto"/>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2.有下列情形的可进行调档处理：</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①</w:t>
      </w:r>
      <w:r>
        <w:rPr>
          <w:rFonts w:hint="eastAsia" w:ascii="仿宋_GB2312" w:hAnsi="仿宋_GB2312" w:eastAsia="仿宋_GB2312" w:cs="仿宋_GB2312"/>
          <w:color w:val="auto"/>
          <w:sz w:val="32"/>
          <w:szCs w:val="32"/>
          <w:highlight w:val="none"/>
        </w:rPr>
        <w:t>评价年度</w:t>
      </w:r>
      <w:r>
        <w:rPr>
          <w:rFonts w:hint="eastAsia" w:ascii="仿宋_GB2312" w:hAnsi="仿宋_GB2312" w:eastAsia="仿宋_GB2312" w:cs="仿宋_GB2312"/>
          <w:color w:val="000000" w:themeColor="text1"/>
          <w:sz w:val="32"/>
          <w:szCs w:val="32"/>
          <w14:textFill>
            <w14:solidFill>
              <w14:schemeClr w14:val="tx1"/>
            </w14:solidFill>
          </w14:textFill>
        </w:rPr>
        <w:t>入库税收超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1000</w:t>
      </w:r>
      <w:r>
        <w:rPr>
          <w:rFonts w:hint="eastAsia" w:ascii="仿宋_GB2312" w:hAnsi="仿宋_GB2312" w:eastAsia="仿宋_GB2312" w:cs="仿宋_GB2312"/>
          <w:color w:val="000000" w:themeColor="text1"/>
          <w:sz w:val="32"/>
          <w:szCs w:val="32"/>
          <w14:textFill>
            <w14:solidFill>
              <w14:schemeClr w14:val="tx1"/>
            </w14:solidFill>
          </w14:textFill>
        </w:rPr>
        <w:t>万元的企业上调一类；</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区税务局负责认定</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②各类</w:t>
      </w:r>
      <w:r>
        <w:rPr>
          <w:rFonts w:hint="eastAsia" w:ascii="仿宋_GB2312" w:hAnsi="仿宋_GB2312" w:eastAsia="仿宋_GB2312" w:cs="仿宋_GB2312"/>
          <w:color w:val="000000" w:themeColor="text1"/>
          <w:sz w:val="32"/>
          <w:szCs w:val="32"/>
          <w14:textFill>
            <w14:solidFill>
              <w14:schemeClr w14:val="tx1"/>
            </w14:solidFill>
          </w14:textFill>
        </w:rPr>
        <w:t>“专精特新”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企业自认定</w:t>
      </w:r>
      <w:r>
        <w:rPr>
          <w:rFonts w:hint="eastAsia" w:ascii="仿宋_GB2312" w:hAnsi="仿宋_GB2312" w:eastAsia="仿宋_GB2312" w:cs="仿宋_GB2312"/>
          <w:color w:val="000000" w:themeColor="text1"/>
          <w:sz w:val="32"/>
          <w:szCs w:val="32"/>
          <w14:textFill>
            <w14:solidFill>
              <w14:schemeClr w14:val="tx1"/>
            </w14:solidFill>
          </w14:textFill>
        </w:rPr>
        <w:t>当年起两个年度内不予列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D类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科技部门认定的科技型与高新技术企业，自认定当年起两个年度内不予列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D类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列入上市、新三板挂牌企业后备库并进入挂牌程序的企业，不予列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w:t>
      </w:r>
      <w:r>
        <w:rPr>
          <w:rFonts w:hint="eastAsia" w:ascii="仿宋_GB2312" w:hAnsi="仿宋_GB2312" w:eastAsia="仿宋_GB2312" w:cs="仿宋_GB2312"/>
          <w:color w:val="000000" w:themeColor="text1"/>
          <w:sz w:val="32"/>
          <w:szCs w:val="32"/>
          <w14:textFill>
            <w14:solidFill>
              <w14:schemeClr w14:val="tx1"/>
            </w14:solidFill>
          </w14:textFill>
        </w:rPr>
        <w:t>D类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区工业和信息化局、区科技局、区金融服务中心负责认定</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③</w:t>
      </w:r>
      <w:r>
        <w:rPr>
          <w:rFonts w:hint="eastAsia" w:ascii="仿宋_GB2312" w:hAnsi="仿宋_GB2312" w:eastAsia="仿宋_GB2312" w:cs="仿宋_GB2312"/>
          <w:color w:val="auto"/>
          <w:sz w:val="32"/>
          <w:szCs w:val="32"/>
          <w:highlight w:val="none"/>
        </w:rPr>
        <w:t>评价年度</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实现年度升规的工业企业，</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不予列为D类；</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实现月度升规的工业企业，</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不予列为</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C类、</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D类</w:t>
      </w:r>
      <w:r>
        <w:rPr>
          <w:rFonts w:hint="eastAsia" w:ascii="仿宋_GB2312" w:hAnsi="仿宋_GB2312" w:eastAsia="仿宋_GB2312" w:cs="仿宋_GB2312"/>
          <w:color w:val="000000" w:themeColor="text1"/>
          <w:kern w:val="2"/>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企业</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注册未满两年、供地未满三年</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经</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区</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“亩产效益”评价改革工作领导小组认定为成长周期较长的企业</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2"/>
          <w:sz w:val="32"/>
          <w:szCs w:val="32"/>
          <w:highlight w:val="none"/>
          <w:lang w:val="en-US" w:eastAsia="zh-CN"/>
          <w14:textFill>
            <w14:solidFill>
              <w14:schemeClr w14:val="tx1"/>
            </w14:solidFill>
          </w14:textFill>
        </w:rPr>
        <w:t>评价</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年度不予列为D类</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区工业和信息化局负责认定</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w:t>
      </w:r>
    </w:p>
    <w:p>
      <w:pPr>
        <w:pStyle w:val="6"/>
        <w:keepNext w:val="0"/>
        <w:keepLines w:val="0"/>
        <w:pageBreakBefore w:val="0"/>
        <w:widowControl w:val="0"/>
        <w:kinsoku/>
        <w:wordWrap/>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u w:val="none"/>
          <w14:textFill>
            <w14:solidFill>
              <w14:schemeClr w14:val="tx1"/>
            </w14:solidFill>
          </w14:textFill>
        </w:rPr>
        <w:t>④</w:t>
      </w:r>
      <w:r>
        <w:rPr>
          <w:rFonts w:hint="eastAsia" w:ascii="仿宋_GB2312" w:hAnsi="仿宋_GB2312" w:eastAsia="仿宋_GB2312" w:cs="仿宋_GB2312"/>
          <w:b w:val="0"/>
          <w:bCs w:val="0"/>
          <w:color w:val="000000" w:themeColor="text1"/>
          <w:kern w:val="2"/>
          <w:sz w:val="32"/>
          <w:szCs w:val="32"/>
          <w:u w:val="none"/>
          <w:lang w:val="en-US" w:eastAsia="zh-CN"/>
          <w14:textFill>
            <w14:solidFill>
              <w14:schemeClr w14:val="tx1"/>
            </w14:solidFill>
          </w14:textFill>
        </w:rPr>
        <w:t>在符合规划的前提下通过厂房加层、厂区改造、内部用地整理等途径提高土地利用率，并达到高效利用标准的企业，</w:t>
      </w:r>
      <w:r>
        <w:rPr>
          <w:rFonts w:hint="eastAsia" w:ascii="仿宋_GB2312" w:hAnsi="仿宋_GB2312" w:eastAsia="仿宋_GB2312" w:cs="仿宋_GB2312"/>
          <w:color w:val="auto"/>
          <w:sz w:val="32"/>
          <w:szCs w:val="32"/>
          <w:highlight w:val="none"/>
        </w:rPr>
        <w:t>评价年度</w:t>
      </w:r>
      <w:r>
        <w:rPr>
          <w:rFonts w:hint="eastAsia" w:ascii="仿宋_GB2312" w:hAnsi="仿宋_GB2312" w:eastAsia="仿宋_GB2312" w:cs="仿宋_GB2312"/>
          <w:b w:val="0"/>
          <w:bCs w:val="0"/>
          <w:color w:val="000000" w:themeColor="text1"/>
          <w:kern w:val="2"/>
          <w:sz w:val="32"/>
          <w:szCs w:val="32"/>
          <w:highlight w:val="none"/>
          <w:u w:val="none"/>
          <w:lang w:val="en-US" w:eastAsia="zh-CN"/>
          <w14:textFill>
            <w14:solidFill>
              <w14:schemeClr w14:val="tx1"/>
            </w14:solidFill>
          </w14:textFill>
        </w:rPr>
        <w:t>列为</w:t>
      </w:r>
      <w:r>
        <w:rPr>
          <w:rFonts w:hint="eastAsia" w:ascii="仿宋_GB2312" w:hAnsi="仿宋_GB2312" w:eastAsia="仿宋_GB2312" w:cs="仿宋_GB2312"/>
          <w:b w:val="0"/>
          <w:bCs w:val="0"/>
          <w:color w:val="000000" w:themeColor="text1"/>
          <w:kern w:val="2"/>
          <w:sz w:val="32"/>
          <w:szCs w:val="32"/>
          <w:u w:val="none"/>
          <w:lang w:val="en-US" w:eastAsia="zh-CN"/>
          <w14:textFill>
            <w14:solidFill>
              <w14:schemeClr w14:val="tx1"/>
            </w14:solidFill>
          </w14:textFill>
        </w:rPr>
        <w:t>A类；</w:t>
      </w:r>
      <w:r>
        <w:rPr>
          <w:rFonts w:hint="eastAsia" w:ascii="楷体_GB2312" w:hAnsi="楷体_GB2312" w:eastAsia="楷体_GB2312" w:cs="楷体_GB2312"/>
          <w:b w:val="0"/>
          <w:bCs w:val="0"/>
          <w:color w:val="000000" w:themeColor="text1"/>
          <w:sz w:val="32"/>
          <w:szCs w:val="32"/>
          <w:u w:val="none"/>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区自然资源局、区工业和信息化局负责认定</w:t>
      </w:r>
      <w:r>
        <w:rPr>
          <w:rFonts w:hint="eastAsia" w:ascii="楷体_GB2312" w:hAnsi="楷体_GB2312" w:eastAsia="楷体_GB2312" w:cs="楷体_GB2312"/>
          <w:b w:val="0"/>
          <w:bCs w:val="0"/>
          <w:color w:val="000000" w:themeColor="text1"/>
          <w:sz w:val="32"/>
          <w:szCs w:val="32"/>
          <w:u w:val="none"/>
          <w:lang w:val="en-US" w:eastAsia="zh-CN"/>
          <w14:textFill>
            <w14:solidFill>
              <w14:schemeClr w14:val="tx1"/>
            </w14:solidFill>
          </w14:textFill>
        </w:rPr>
        <w:t>）</w:t>
      </w:r>
    </w:p>
    <w:p>
      <w:pPr>
        <w:pStyle w:val="6"/>
        <w:keepNext w:val="0"/>
        <w:keepLines w:val="0"/>
        <w:pageBreakBefore w:val="0"/>
        <w:widowControl w:val="0"/>
        <w:kinsoku/>
        <w:wordWrap/>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⑤</w:t>
      </w:r>
      <w:r>
        <w:rPr>
          <w:rFonts w:hint="eastAsia" w:ascii="仿宋_GB2312" w:hAnsi="仿宋_GB2312" w:eastAsia="仿宋_GB2312" w:cs="仿宋_GB2312"/>
          <w:color w:val="000000" w:themeColor="text1"/>
          <w:kern w:val="2"/>
          <w:sz w:val="32"/>
          <w:szCs w:val="32"/>
          <w14:textFill>
            <w14:solidFill>
              <w14:schemeClr w14:val="tx1"/>
            </w14:solidFill>
          </w14:textFill>
        </w:rPr>
        <w:t>被法院列入失信被执行人、被相关单位列入相关领域失信“黑名单”或存在其他严重失信行为的企业，直接</w:t>
      </w:r>
      <w:r>
        <w:rPr>
          <w:rFonts w:hint="eastAsia" w:ascii="仿宋_GB2312" w:hAnsi="仿宋_GB2312" w:eastAsia="仿宋_GB2312" w:cs="仿宋_GB2312"/>
          <w:color w:val="000000" w:themeColor="text1"/>
          <w:kern w:val="2"/>
          <w:sz w:val="32"/>
          <w:szCs w:val="32"/>
          <w:highlight w:val="none"/>
          <w14:textFill>
            <w14:solidFill>
              <w14:schemeClr w14:val="tx1"/>
            </w14:solidFill>
          </w14:textFill>
        </w:rPr>
        <w:t>列为</w:t>
      </w:r>
      <w:r>
        <w:rPr>
          <w:rFonts w:hint="eastAsia" w:ascii="仿宋_GB2312" w:hAnsi="仿宋_GB2312" w:eastAsia="仿宋_GB2312" w:cs="仿宋_GB2312"/>
          <w:color w:val="000000" w:themeColor="text1"/>
          <w:kern w:val="2"/>
          <w:sz w:val="32"/>
          <w:szCs w:val="32"/>
          <w14:textFill>
            <w14:solidFill>
              <w14:schemeClr w14:val="tx1"/>
            </w14:solidFill>
          </w14:textFill>
        </w:rPr>
        <w:t>D类</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区法院、区发展改革局负责认定</w:t>
      </w: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w:t>
      </w:r>
    </w:p>
    <w:p>
      <w:pPr>
        <w:pStyle w:val="3"/>
        <w:keepNext w:val="0"/>
        <w:keepLines w:val="0"/>
        <w:pageBreakBefore w:val="0"/>
        <w:widowControl w:val="0"/>
        <w:kinsoku/>
        <w:wordWrap/>
        <w:topLinePunct w:val="0"/>
        <w:autoSpaceDE/>
        <w:autoSpaceDN/>
        <w:bidi w:val="0"/>
        <w:adjustRightInd/>
        <w:snapToGrid/>
        <w:spacing w:line="560" w:lineRule="exact"/>
        <w:ind w:left="0" w:leftChars="0" w:right="0"/>
        <w:textAlignment w:val="auto"/>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pPr>
      <w:r>
        <w:rPr>
          <w:rFonts w:hint="eastAsia" w:cs="仿宋_GB2312"/>
          <w:color w:val="000000" w:themeColor="text1"/>
          <w:szCs w:val="32"/>
          <w:lang w:val="en-US" w:eastAsia="zh-CN"/>
          <w14:textFill>
            <w14:solidFill>
              <w14:schemeClr w14:val="tx1"/>
            </w14:solidFill>
          </w14:textFill>
        </w:rPr>
        <w:t>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评价年度发生2起（含）以上一般突发环境事件、生产安全一般事故、一般火灾或1起（含）以上较大突发环境事故、生产安全较大事故、较大火灾的企业下调一类；</w:t>
      </w:r>
      <w:r>
        <w:rPr>
          <w:rFonts w:hint="eastAsia" w:ascii="仿宋_GB2312" w:hAnsi="仿宋_GB2312" w:eastAsia="仿宋_GB2312" w:cs="仿宋_GB2312"/>
          <w:color w:val="auto"/>
          <w:kern w:val="2"/>
          <w:sz w:val="32"/>
          <w:szCs w:val="32"/>
          <w:lang w:val="en-US" w:eastAsia="zh-CN" w:bidi="ar-SA"/>
        </w:rPr>
        <w:t>评价年度发生1起生产安全一般事故的化工企业直接</w:t>
      </w:r>
      <w:r>
        <w:rPr>
          <w:rFonts w:hint="eastAsia" w:cs="仿宋_GB2312"/>
          <w:color w:val="auto"/>
          <w:kern w:val="2"/>
          <w:sz w:val="32"/>
          <w:szCs w:val="32"/>
          <w:lang w:val="en-US" w:eastAsia="zh-CN" w:bidi="ar-SA"/>
        </w:rPr>
        <w:t>列为</w:t>
      </w:r>
      <w:r>
        <w:rPr>
          <w:rFonts w:hint="eastAsia" w:ascii="仿宋_GB2312" w:hAnsi="仿宋_GB2312" w:eastAsia="仿宋_GB2312" w:cs="仿宋_GB2312"/>
          <w:color w:val="auto"/>
          <w:kern w:val="2"/>
          <w:sz w:val="32"/>
          <w:szCs w:val="32"/>
          <w:lang w:val="en-US" w:eastAsia="zh-CN" w:bidi="ar-SA"/>
        </w:rPr>
        <w:t>D类；评价年度发生重大突发环境事件、生产安全重大事故、重大火灾的企业直接</w:t>
      </w:r>
      <w:r>
        <w:rPr>
          <w:rFonts w:hint="eastAsia" w:cs="仿宋_GB2312"/>
          <w:color w:val="auto"/>
          <w:kern w:val="2"/>
          <w:sz w:val="32"/>
          <w:szCs w:val="32"/>
          <w:lang w:val="en-US" w:eastAsia="zh-CN" w:bidi="ar-SA"/>
        </w:rPr>
        <w:t>列为</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D类；</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lang w:val="en-US" w:eastAsia="zh-CN" w:bidi="ar-SA"/>
          <w14:textFill>
            <w14:solidFill>
              <w14:schemeClr w14:val="tx1"/>
            </w14:solidFill>
          </w14:textFill>
        </w:rPr>
        <w:t>区应急管理局、区生态环境分局负责认定</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⑦</w:t>
      </w:r>
      <w:r>
        <w:rPr>
          <w:rFonts w:hint="eastAsia" w:ascii="仿宋_GB2312" w:hAnsi="仿宋_GB2312" w:eastAsia="仿宋_GB2312" w:cs="仿宋_GB2312"/>
          <w:color w:val="000000" w:themeColor="text1"/>
          <w:kern w:val="2"/>
          <w:sz w:val="32"/>
          <w:szCs w:val="32"/>
          <w14:textFill>
            <w14:solidFill>
              <w14:schemeClr w14:val="tx1"/>
            </w14:solidFill>
          </w14:textFill>
        </w:rPr>
        <w:t>列入各级政府明确淘汰计划的企业</w:t>
      </w:r>
      <w:r>
        <w:rPr>
          <w:rFonts w:hint="eastAsia" w:ascii="仿宋_GB2312" w:hAnsi="仿宋_GB2312" w:eastAsia="仿宋_GB2312" w:cs="仿宋_GB2312"/>
          <w:color w:val="auto"/>
          <w:kern w:val="2"/>
          <w:sz w:val="32"/>
          <w:szCs w:val="32"/>
        </w:rPr>
        <w:t>，直接列为D类；实际占用土地但没有产出的企业（包括已关停企业、超过约定竣工日期18个月以上仍未完工的企业等），直接列为D类</w:t>
      </w:r>
      <w:r>
        <w:rPr>
          <w:rFonts w:hint="eastAsia" w:ascii="仿宋_GB2312" w:hAnsi="仿宋_GB2312" w:eastAsia="仿宋_GB2312" w:cs="仿宋_GB2312"/>
          <w:color w:val="auto"/>
          <w:kern w:val="2"/>
          <w:sz w:val="32"/>
          <w:szCs w:val="32"/>
          <w:lang w:eastAsia="zh-CN"/>
        </w:rPr>
        <w:t>；</w:t>
      </w:r>
      <w:r>
        <w:rPr>
          <w:rFonts w:hint="eastAsia" w:ascii="楷体_GB2312" w:hAnsi="楷体_GB2312" w:eastAsia="楷体_GB2312" w:cs="楷体_GB2312"/>
          <w:color w:val="auto"/>
          <w:kern w:val="0"/>
          <w:sz w:val="32"/>
          <w:szCs w:val="32"/>
          <w:lang w:val="en-US" w:eastAsia="zh-CN" w:bidi="ar-SA"/>
        </w:rPr>
        <w:t>（</w:t>
      </w:r>
      <w:r>
        <w:rPr>
          <w:rFonts w:hint="eastAsia" w:ascii="楷体_GB2312" w:hAnsi="楷体_GB2312" w:eastAsia="楷体_GB2312" w:cs="楷体_GB2312"/>
          <w:b w:val="0"/>
          <w:bCs w:val="0"/>
          <w:color w:val="auto"/>
          <w:sz w:val="32"/>
          <w:szCs w:val="32"/>
          <w:lang w:val="en-US" w:eastAsia="zh-CN"/>
        </w:rPr>
        <w:t>区发展改革局、区工业和信息化局、区自然资源局负责认定</w:t>
      </w:r>
      <w:r>
        <w:rPr>
          <w:rFonts w:hint="eastAsia" w:ascii="楷体_GB2312" w:hAnsi="楷体_GB2312" w:eastAsia="楷体_GB2312" w:cs="楷体_GB2312"/>
          <w:color w:val="auto"/>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firstLine="640" w:firstLineChars="200"/>
        <w:textAlignment w:val="auto"/>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auto"/>
          <w:kern w:val="2"/>
          <w:sz w:val="32"/>
          <w:szCs w:val="32"/>
          <w:lang w:val="en-US" w:eastAsia="zh-CN" w:bidi="ar-SA"/>
        </w:rPr>
        <w:t>⑧</w:t>
      </w:r>
      <w:r>
        <w:rPr>
          <w:rFonts w:hint="eastAsia" w:ascii="仿宋_GB2312" w:hAnsi="仿宋_GB2312" w:eastAsia="仿宋_GB2312" w:cs="仿宋_GB2312"/>
          <w:color w:val="auto"/>
          <w:kern w:val="2"/>
          <w:sz w:val="32"/>
          <w:szCs w:val="32"/>
        </w:rPr>
        <w:t>因存在特别严重违法违规行为或特别重大过错责任，给全区造成极大负面影响的企业，直接列为D</w:t>
      </w:r>
      <w:r>
        <w:rPr>
          <w:rFonts w:hint="eastAsia" w:ascii="仿宋_GB2312" w:hAnsi="仿宋_GB2312" w:eastAsia="仿宋_GB2312" w:cs="仿宋_GB2312"/>
          <w:color w:val="000000" w:themeColor="text1"/>
          <w:kern w:val="2"/>
          <w:sz w:val="32"/>
          <w:szCs w:val="32"/>
          <w14:textFill>
            <w14:solidFill>
              <w14:schemeClr w14:val="tx1"/>
            </w14:solidFill>
          </w14:textFill>
        </w:rPr>
        <w:t>类</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val="en-US" w:eastAsia="zh-CN"/>
          <w14:textFill>
            <w14:solidFill>
              <w14:schemeClr w14:val="tx1"/>
            </w14:solidFill>
          </w14:textFill>
        </w:rPr>
        <w:t>（相关部门负责认定）</w:t>
      </w:r>
    </w:p>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对于需要调档处理的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其他情形</w:t>
      </w:r>
      <w:r>
        <w:rPr>
          <w:rFonts w:hint="eastAsia" w:ascii="仿宋_GB2312" w:hAnsi="仿宋_GB2312" w:eastAsia="仿宋_GB2312" w:cs="仿宋_GB2312"/>
          <w:color w:val="000000" w:themeColor="text1"/>
          <w:sz w:val="32"/>
          <w:szCs w:val="32"/>
          <w14:textFill>
            <w14:solidFill>
              <w14:schemeClr w14:val="tx1"/>
            </w14:solidFill>
          </w14:textFill>
        </w:rPr>
        <w:t>，由相应部门提出意见，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lang w:bidi="ar"/>
          <w14:textFill>
            <w14:solidFill>
              <w14:schemeClr w14:val="tx1"/>
            </w14:solidFill>
          </w14:textFill>
        </w:rPr>
        <w:t>“亩产效益”评价改革工作领导小组</w:t>
      </w:r>
      <w:r>
        <w:rPr>
          <w:rFonts w:hint="eastAsia" w:ascii="仿宋_GB2312" w:hAnsi="仿宋_GB2312" w:eastAsia="仿宋_GB2312" w:cs="仿宋_GB2312"/>
          <w:color w:val="000000" w:themeColor="text1"/>
          <w:sz w:val="32"/>
          <w:szCs w:val="32"/>
          <w14:textFill>
            <w14:solidFill>
              <w14:schemeClr w14:val="tx1"/>
            </w14:solidFill>
          </w14:textFill>
        </w:rPr>
        <w:t>予以研究认定。</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二、实施资源要素差别化配置</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0" w:firstLineChars="200"/>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依据企业“亩产效益”评价结果，严格落实价格、用地、用能、信贷</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排放</w:t>
      </w:r>
      <w:r>
        <w:rPr>
          <w:rFonts w:hint="eastAsia" w:ascii="仿宋_GB2312" w:hAnsi="仿宋_GB2312" w:eastAsia="仿宋_GB2312" w:cs="仿宋_GB2312"/>
          <w:bCs/>
          <w:color w:val="000000" w:themeColor="text1"/>
          <w:sz w:val="32"/>
          <w:szCs w:val="32"/>
          <w14:textFill>
            <w14:solidFill>
              <w14:schemeClr w14:val="tx1"/>
            </w14:solidFill>
          </w14:textFill>
        </w:rPr>
        <w:t>等资源要素差别化配置政策，加大A类企业激励力度，倒逼D类企业提升资源要素利用效率</w:t>
      </w:r>
      <w:r>
        <w:rPr>
          <w:rFonts w:hint="eastAsia" w:ascii="仿宋_GB2312" w:hAnsi="仿宋_GB2312" w:eastAsia="仿宋_GB2312" w:cs="仿宋_GB2312"/>
          <w:color w:val="000000" w:themeColor="text1"/>
          <w:sz w:val="32"/>
          <w:szCs w:val="32"/>
          <w14:textFill>
            <w14:solidFill>
              <w14:schemeClr w14:val="tx1"/>
            </w14:solidFill>
          </w14:textFill>
        </w:rPr>
        <w:t>，具体措施由各职能部门制定并实施。</w:t>
      </w:r>
      <w:r>
        <w:rPr>
          <w:rFonts w:hint="eastAsia" w:ascii="仿宋_GB2312" w:hAnsi="仿宋_GB2312" w:eastAsia="仿宋_GB2312" w:cs="仿宋_GB2312"/>
          <w:bCs/>
          <w:color w:val="000000" w:themeColor="text1"/>
          <w:sz w:val="32"/>
          <w:szCs w:val="32"/>
          <w14:textFill>
            <w14:solidFill>
              <w14:schemeClr w14:val="tx1"/>
            </w14:solidFill>
          </w14:textFill>
        </w:rPr>
        <w:t>鼓励各单位</w:t>
      </w:r>
      <w:r>
        <w:rPr>
          <w:rFonts w:hint="eastAsia" w:ascii="仿宋_GB2312" w:hAnsi="仿宋_GB2312" w:eastAsia="仿宋_GB2312" w:cs="仿宋_GB2312"/>
          <w:color w:val="000000" w:themeColor="text1"/>
          <w:sz w:val="32"/>
          <w:szCs w:val="32"/>
          <w14:textFill>
            <w14:solidFill>
              <w14:schemeClr w14:val="tx1"/>
            </w14:solidFill>
          </w14:textFill>
        </w:rPr>
        <w:t>结合实际，从强化企业服务、优质企业奖补、低效企业整治、</w:t>
      </w:r>
      <w:r>
        <w:rPr>
          <w:rFonts w:hint="eastAsia" w:ascii="仿宋_GB2312" w:hAnsi="宋体" w:eastAsia="仿宋_GB2312" w:cs="宋体"/>
          <w:color w:val="000000" w:themeColor="text1"/>
          <w:kern w:val="0"/>
          <w:sz w:val="32"/>
          <w:szCs w:val="32"/>
          <w14:textFill>
            <w14:solidFill>
              <w14:schemeClr w14:val="tx1"/>
            </w14:solidFill>
          </w14:textFill>
        </w:rPr>
        <w:t>城镇土地使用税差别化税率</w:t>
      </w:r>
      <w:r>
        <w:rPr>
          <w:rFonts w:hint="eastAsia" w:ascii="仿宋_GB2312" w:hAnsi="仿宋_GB2312" w:eastAsia="仿宋_GB2312" w:cs="仿宋_GB2312"/>
          <w:color w:val="000000" w:themeColor="text1"/>
          <w:sz w:val="32"/>
          <w:szCs w:val="32"/>
          <w14:textFill>
            <w14:solidFill>
              <w14:schemeClr w14:val="tx1"/>
            </w14:solidFill>
          </w14:textFill>
        </w:rPr>
        <w:t>等方面探索实施效能更强的政策措施，进一步优化资源要素配置。</w:t>
      </w:r>
    </w:p>
    <w:p>
      <w:pPr>
        <w:pStyle w:val="3"/>
        <w:keepNext w:val="0"/>
        <w:keepLines w:val="0"/>
        <w:pageBreakBefore w:val="0"/>
        <w:widowControl w:val="0"/>
        <w:kinsoku/>
        <w:wordWrap/>
        <w:topLinePunct w:val="0"/>
        <w:autoSpaceDE/>
        <w:autoSpaceDN/>
        <w:bidi w:val="0"/>
        <w:snapToGrid/>
        <w:spacing w:line="560" w:lineRule="exact"/>
        <w:ind w:left="0" w:leftChars="0" w:right="0" w:firstLine="638"/>
        <w:jc w:val="both"/>
        <w:textAlignment w:val="auto"/>
        <w:rPr>
          <w:rFonts w:hint="eastAsia" w:ascii="楷体_GB2312" w:hAnsi="楷体_GB2312" w:eastAsia="楷体_GB2312" w:cs="楷体_GB2312"/>
          <w:bCs/>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SA"/>
          <w14:textFill>
            <w14:solidFill>
              <w14:schemeClr w14:val="tx1"/>
            </w14:solidFill>
          </w14:textFill>
        </w:rPr>
        <w:t>（一）实施差别化用地。</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根据分类评价结果并结合实际，</w:t>
      </w:r>
      <w:r>
        <w:rPr>
          <w:rFonts w:hint="eastAsia" w:cs="仿宋_GB2312"/>
          <w:bCs/>
          <w:color w:val="000000" w:themeColor="text1"/>
          <w:kern w:val="2"/>
          <w:sz w:val="32"/>
          <w:szCs w:val="32"/>
          <w:lang w:val="en-US" w:eastAsia="zh-CN" w:bidi="ar-SA"/>
          <w14:textFill>
            <w14:solidFill>
              <w14:schemeClr w14:val="tx1"/>
            </w14:solidFill>
          </w14:textFill>
        </w:rPr>
        <w:t>探索</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实行差别化的土地供应</w:t>
      </w: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。对A类工业企业用地需求做到应保尽保，</w:t>
      </w:r>
      <w:r>
        <w:rPr>
          <w:rFonts w:hint="eastAsia" w:cs="仿宋_GB2312"/>
          <w:bCs/>
          <w:color w:val="000000" w:themeColor="text1"/>
          <w:kern w:val="2"/>
          <w:sz w:val="32"/>
          <w:szCs w:val="32"/>
          <w:highlight w:val="none"/>
          <w:lang w:val="en-US" w:eastAsia="zh-CN" w:bidi="ar-SA"/>
          <w14:textFill>
            <w14:solidFill>
              <w14:schemeClr w14:val="tx1"/>
            </w14:solidFill>
          </w14:textFill>
        </w:rPr>
        <w:t>优先供应</w:t>
      </w: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对D类工业企业一年内没有技改提质、扩规增效措施、引入战略合作伙伴、签订招商引资合同的，</w:t>
      </w:r>
      <w:r>
        <w:rPr>
          <w:rFonts w:hint="eastAsia" w:cs="仿宋_GB2312"/>
          <w:bCs/>
          <w:color w:val="000000" w:themeColor="text1"/>
          <w:kern w:val="2"/>
          <w:sz w:val="32"/>
          <w:szCs w:val="32"/>
          <w:highlight w:val="none"/>
          <w:lang w:val="en-US" w:eastAsia="zh-CN" w:bidi="ar-SA"/>
          <w14:textFill>
            <w14:solidFill>
              <w14:schemeClr w14:val="tx1"/>
            </w14:solidFill>
          </w14:textFill>
        </w:rPr>
        <w:t>由原招商引资部门牵头，区自然资源局、区财政局按程序</w:t>
      </w:r>
      <w:r>
        <w:rPr>
          <w:rFonts w:hint="eastAsia" w:ascii="仿宋_GB2312" w:hAnsi="仿宋_GB2312" w:eastAsia="仿宋_GB2312" w:cs="仿宋_GB2312"/>
          <w:bCs/>
          <w:color w:val="000000" w:themeColor="text1"/>
          <w:kern w:val="2"/>
          <w:sz w:val="32"/>
          <w:szCs w:val="32"/>
          <w:highlight w:val="none"/>
          <w:lang w:val="en-US" w:eastAsia="zh-CN" w:bidi="ar-SA"/>
          <w14:textFill>
            <w14:solidFill>
              <w14:schemeClr w14:val="tx1"/>
            </w14:solidFill>
          </w14:textFill>
        </w:rPr>
        <w:t>通过评估回收土地厂房等方式予以出清。</w:t>
      </w:r>
      <w:r>
        <w:rPr>
          <w:rFonts w:hint="eastAsia" w:cs="仿宋_GB2312"/>
          <w:bCs/>
          <w:color w:val="000000" w:themeColor="text1"/>
          <w:kern w:val="2"/>
          <w:sz w:val="32"/>
          <w:szCs w:val="32"/>
          <w:lang w:val="en-US" w:eastAsia="zh-CN" w:bidi="ar-SA"/>
          <w14:textFill>
            <w14:solidFill>
              <w14:schemeClr w14:val="tx1"/>
            </w14:solidFill>
          </w14:textFill>
        </w:rPr>
        <w:t>按照</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《台儿庄区城镇土地使用税差别化改革试点工作实施方案》实行城镇土地使用税差别化减免政策</w:t>
      </w:r>
      <w:r>
        <w:rPr>
          <w:rFonts w:hint="eastAsia" w:cs="仿宋_GB2312"/>
          <w:bCs/>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A</w:t>
      </w:r>
      <w:r>
        <w:rPr>
          <w:rFonts w:hint="eastAsia" w:cs="仿宋_GB2312"/>
          <w:bCs/>
          <w:color w:val="000000" w:themeColor="text1"/>
          <w:kern w:val="2"/>
          <w:sz w:val="32"/>
          <w:szCs w:val="32"/>
          <w:lang w:val="en-US" w:eastAsia="zh-CN" w:bidi="ar-SA"/>
          <w14:textFill>
            <w14:solidFill>
              <w14:schemeClr w14:val="tx1"/>
            </w14:solidFill>
          </w14:textFill>
        </w:rPr>
        <w:t>、B、C、D</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类企业</w:t>
      </w:r>
      <w:r>
        <w:rPr>
          <w:rFonts w:hint="eastAsia" w:cs="仿宋_GB2312"/>
          <w:bCs/>
          <w:color w:val="000000" w:themeColor="text1"/>
          <w:kern w:val="2"/>
          <w:sz w:val="32"/>
          <w:szCs w:val="32"/>
          <w:lang w:val="en-US" w:eastAsia="zh-CN" w:bidi="ar-SA"/>
          <w14:textFill>
            <w14:solidFill>
              <w14:schemeClr w14:val="tx1"/>
            </w14:solidFill>
          </w14:textFill>
        </w:rPr>
        <w:t>分别</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按照相应税额标准的50%</w:t>
      </w:r>
      <w:r>
        <w:rPr>
          <w:rFonts w:hint="eastAsia" w:cs="仿宋_GB2312"/>
          <w:bCs/>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60%</w:t>
      </w:r>
      <w:r>
        <w:rPr>
          <w:rFonts w:hint="eastAsia" w:cs="仿宋_GB2312"/>
          <w:bCs/>
          <w:color w:val="000000" w:themeColor="text1"/>
          <w:kern w:val="2"/>
          <w:sz w:val="32"/>
          <w:szCs w:val="32"/>
          <w:lang w:val="en-US" w:eastAsia="zh-CN" w:bidi="ar-SA"/>
          <w14:textFill>
            <w14:solidFill>
              <w14:schemeClr w14:val="tx1"/>
            </w14:solidFill>
          </w14:textFill>
        </w:rPr>
        <w:t>、</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80%</w:t>
      </w:r>
      <w:r>
        <w:rPr>
          <w:rFonts w:hint="eastAsia" w:cs="仿宋_GB2312"/>
          <w:bCs/>
          <w:color w:val="000000" w:themeColor="text1"/>
          <w:kern w:val="2"/>
          <w:sz w:val="32"/>
          <w:szCs w:val="32"/>
          <w:lang w:val="en-US" w:eastAsia="zh-CN" w:bidi="ar-SA"/>
          <w14:textFill>
            <w14:solidFill>
              <w14:schemeClr w14:val="tx1"/>
            </w14:solidFill>
          </w14:textFill>
        </w:rPr>
        <w:t>和</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100%执行。</w:t>
      </w:r>
      <w:r>
        <w:rPr>
          <w:rFonts w:hint="eastAsia" w:ascii="楷体_GB2312" w:hAnsi="楷体_GB2312" w:eastAsia="楷体_GB2312" w:cs="楷体_GB2312"/>
          <w:bCs/>
          <w:color w:val="000000" w:themeColor="text1"/>
          <w:kern w:val="2"/>
          <w:sz w:val="32"/>
          <w:szCs w:val="32"/>
          <w:lang w:val="en-US" w:eastAsia="zh-CN" w:bidi="ar-SA"/>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lang w:val="en-US" w:eastAsia="zh-CN" w:bidi="ar-SA"/>
          <w14:textFill>
            <w14:solidFill>
              <w14:schemeClr w14:val="tx1"/>
            </w14:solidFill>
          </w14:textFill>
        </w:rPr>
        <w:t>责任单位：经济开发区、区税务局、区工业和信息化局、区自然资源局、区财政局等有关部门</w:t>
      </w:r>
      <w:r>
        <w:rPr>
          <w:rFonts w:hint="eastAsia" w:ascii="楷体_GB2312" w:hAnsi="楷体_GB2312" w:eastAsia="楷体_GB2312" w:cs="楷体_GB2312"/>
          <w:bCs/>
          <w:color w:val="000000" w:themeColor="text1"/>
          <w:kern w:val="2"/>
          <w:sz w:val="32"/>
          <w:szCs w:val="32"/>
          <w:lang w:val="en-US" w:eastAsia="zh-CN" w:bidi="ar-SA"/>
          <w14:textFill>
            <w14:solidFill>
              <w14:schemeClr w14:val="tx1"/>
            </w14:solidFill>
          </w14:textFill>
        </w:rPr>
        <w:t>）</w:t>
      </w:r>
    </w:p>
    <w:p>
      <w:pPr>
        <w:pStyle w:val="3"/>
        <w:keepNext w:val="0"/>
        <w:keepLines w:val="0"/>
        <w:pageBreakBefore w:val="0"/>
        <w:widowControl w:val="0"/>
        <w:kinsoku/>
        <w:wordWrap/>
        <w:topLinePunct w:val="0"/>
        <w:autoSpaceDE/>
        <w:autoSpaceDN/>
        <w:bidi w:val="0"/>
        <w:snapToGrid/>
        <w:spacing w:line="560" w:lineRule="exact"/>
        <w:ind w:left="0" w:leftChars="0" w:right="0" w:firstLine="638"/>
        <w:jc w:val="both"/>
        <w:textAlignment w:val="auto"/>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SA"/>
          <w14:textFill>
            <w14:solidFill>
              <w14:schemeClr w14:val="tx1"/>
            </w14:solidFill>
          </w14:textFill>
        </w:rPr>
        <w:t>（二）实施差别化用能。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执行差别化电价、水价、气价政策。因出现电力供应不足等情况，需实施有序用电时，按照“有保有限”的原则，优先将D类工业企业编入本地有序用电方案；对非“两高”项目范围的A类工业企业确需限电的，实行“一企一策”，针对企业行业特点和生产需求，制定合理的负荷压减方案。</w:t>
      </w: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lang w:val="en-US" w:eastAsia="zh-CN" w:bidi="ar-SA"/>
          <w14:textFill>
            <w14:solidFill>
              <w14:schemeClr w14:val="tx1"/>
            </w14:solidFill>
          </w14:textFill>
        </w:rPr>
        <w:t>责任单位：区发展改革局、区供电中心</w:t>
      </w: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w:t>
      </w:r>
    </w:p>
    <w:p>
      <w:pPr>
        <w:pStyle w:val="3"/>
        <w:keepNext w:val="0"/>
        <w:keepLines w:val="0"/>
        <w:pageBreakBefore w:val="0"/>
        <w:widowControl w:val="0"/>
        <w:kinsoku/>
        <w:wordWrap/>
        <w:topLinePunct w:val="0"/>
        <w:autoSpaceDE/>
        <w:autoSpaceDN/>
        <w:bidi w:val="0"/>
        <w:snapToGrid/>
        <w:spacing w:line="560" w:lineRule="exact"/>
        <w:ind w:left="0" w:leftChars="0" w:right="0" w:firstLine="638"/>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SA"/>
          <w14:textFill>
            <w14:solidFill>
              <w14:schemeClr w14:val="tx1"/>
            </w14:solidFill>
          </w14:textFill>
        </w:rPr>
        <w:t>（三）实施差别化排污。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在核定年度污染物减排计划下达削减任务时，平均削减比例按A、B、C、D档顺序提高；对A、B类工业企业在排污权指标分配方面给予优先支持。</w:t>
      </w: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lang w:val="en-US" w:eastAsia="zh-CN" w:bidi="ar-SA"/>
          <w14:textFill>
            <w14:solidFill>
              <w14:schemeClr w14:val="tx1"/>
            </w14:solidFill>
          </w14:textFill>
        </w:rPr>
        <w:t>责任单位：区生态环境分局</w:t>
      </w: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w:t>
      </w:r>
    </w:p>
    <w:p>
      <w:pPr>
        <w:pStyle w:val="3"/>
        <w:keepNext w:val="0"/>
        <w:keepLines w:val="0"/>
        <w:pageBreakBefore w:val="0"/>
        <w:widowControl w:val="0"/>
        <w:kinsoku/>
        <w:wordWrap/>
        <w:topLinePunct w:val="0"/>
        <w:autoSpaceDE/>
        <w:autoSpaceDN/>
        <w:bidi w:val="0"/>
        <w:snapToGrid/>
        <w:spacing w:line="560" w:lineRule="exact"/>
        <w:ind w:left="0" w:leftChars="0" w:right="0" w:firstLine="638"/>
        <w:jc w:val="both"/>
        <w:textAlignment w:val="auto"/>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SA"/>
          <w14:textFill>
            <w14:solidFill>
              <w14:schemeClr w14:val="tx1"/>
            </w14:solidFill>
          </w14:textFill>
        </w:rPr>
        <w:t>（四）实施差别化信贷。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行贷款余额总量控制，年度贷款余额占比按A、B、C、D档顺序降低。对符合政策条件的A、B类工业企业，金融机构在贷款准入、贷款授信、担保方式创新、还款方式创新和利率优惠等方面给予重点支持。对D类工业企业单纯扩大产能的项目贷款在信贷审批等方面予以限制，对C、D类工业企业要在信贷审批等方面体现约束性要求。</w:t>
      </w: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lang w:val="en-US" w:eastAsia="zh-CN" w:bidi="ar-SA"/>
          <w14:textFill>
            <w14:solidFill>
              <w14:schemeClr w14:val="tx1"/>
            </w14:solidFill>
          </w14:textFill>
        </w:rPr>
        <w:t>责任单位：区人民银行、区财政局、区金融服务中心</w:t>
      </w: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w:t>
      </w:r>
    </w:p>
    <w:p>
      <w:pPr>
        <w:pStyle w:val="3"/>
        <w:keepNext w:val="0"/>
        <w:keepLines w:val="0"/>
        <w:pageBreakBefore w:val="0"/>
        <w:widowControl w:val="0"/>
        <w:kinsoku/>
        <w:wordWrap/>
        <w:topLinePunct w:val="0"/>
        <w:autoSpaceDE/>
        <w:autoSpaceDN/>
        <w:bidi w:val="0"/>
        <w:snapToGrid/>
        <w:spacing w:line="560" w:lineRule="exact"/>
        <w:ind w:left="0" w:leftChars="0" w:right="0" w:firstLine="638"/>
        <w:jc w:val="both"/>
        <w:textAlignment w:val="auto"/>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SA"/>
          <w14:textFill>
            <w14:solidFill>
              <w14:schemeClr w14:val="tx1"/>
            </w14:solidFill>
          </w14:textFill>
        </w:rPr>
        <w:t>（五）实施正向激励政策。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企业注册两年之内首次评价为D类的工业企业，除确属技术或产能落后、不具备整改提升空间外，不执行负面政策；对新升规的工业企业首次参与评价的，给予A类工业企业政策待遇；以上待遇执行自当次评价结果公布起至下次评价结果公布结束。对新升规的工业企业，自首次参评结果公布起，两年内不执行负面政策。</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工业领域各项评选认定原则上不低于</w:t>
      </w:r>
      <w:r>
        <w:rPr>
          <w:rFonts w:hint="eastAsia" w:cs="仿宋_GB2312"/>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drawing>
          <wp:inline distT="0" distB="0" distL="0" distR="0">
            <wp:extent cx="85090" cy="154940"/>
            <wp:effectExtent l="0" t="0" r="10160" b="16510"/>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额度给予A类工业企业。</w:t>
      </w: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lang w:val="en-US" w:eastAsia="zh-CN" w:bidi="ar-SA"/>
          <w14:textFill>
            <w14:solidFill>
              <w14:schemeClr w14:val="tx1"/>
            </w14:solidFill>
          </w14:textFill>
        </w:rPr>
        <w:t>责任单位：经济开发区、有关职能部门</w:t>
      </w: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w:t>
      </w:r>
    </w:p>
    <w:p>
      <w:pPr>
        <w:pStyle w:val="3"/>
        <w:keepNext w:val="0"/>
        <w:keepLines w:val="0"/>
        <w:pageBreakBefore w:val="0"/>
        <w:widowControl w:val="0"/>
        <w:kinsoku/>
        <w:wordWrap/>
        <w:topLinePunct w:val="0"/>
        <w:autoSpaceDE/>
        <w:autoSpaceDN/>
        <w:bidi w:val="0"/>
        <w:snapToGrid/>
        <w:spacing w:line="560" w:lineRule="exact"/>
        <w:ind w:left="0" w:leftChars="0" w:right="0" w:firstLine="638"/>
        <w:jc w:val="both"/>
        <w:textAlignment w:val="auto"/>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SA"/>
          <w14:textFill>
            <w14:solidFill>
              <w14:schemeClr w14:val="tx1"/>
            </w14:solidFill>
          </w14:textFill>
        </w:rPr>
        <w:t>（六）实施财政引导政策。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立健全财政扶持政策与分类评价结果挂钩的联动机制，工业企业参加当年度“亩产效益”评价，且评价结果为A类或B类，优先推荐申报工业领域市、区级财政奖补资金和各项评选认定。面向A类工业企业奖补，原则上不低于市、区级工业领域财政奖补资金总金额</w:t>
      </w:r>
      <w:r>
        <w:rPr>
          <w:rFonts w:hint="eastAsia" w:cs="仿宋_GB2312"/>
          <w:color w:val="000000" w:themeColor="text1"/>
          <w:sz w:val="32"/>
          <w:szCs w:val="32"/>
          <w:lang w:val="en-US" w:eastAsia="zh-CN"/>
          <w14:textFill>
            <w14:solidFill>
              <w14:schemeClr w14:val="tx1"/>
            </w14:solidFill>
          </w14:textFill>
        </w:rPr>
        <w:t>的6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drawing>
          <wp:inline distT="0" distB="0" distL="0" distR="0">
            <wp:extent cx="85090" cy="154940"/>
            <wp:effectExtent l="0" t="0" r="10160" b="1651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lang w:val="en-US" w:eastAsia="zh-CN" w:bidi="ar-SA"/>
          <w14:textFill>
            <w14:solidFill>
              <w14:schemeClr w14:val="tx1"/>
            </w14:solidFill>
          </w14:textFill>
        </w:rPr>
        <w:t>责任单位：经济开发区、区工业和信息化局、区财政局</w:t>
      </w: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w:t>
      </w:r>
    </w:p>
    <w:p>
      <w:pPr>
        <w:pStyle w:val="3"/>
        <w:keepNext w:val="0"/>
        <w:keepLines w:val="0"/>
        <w:pageBreakBefore w:val="0"/>
        <w:widowControl w:val="0"/>
        <w:kinsoku/>
        <w:wordWrap/>
        <w:topLinePunct w:val="0"/>
        <w:autoSpaceDE/>
        <w:autoSpaceDN/>
        <w:bidi w:val="0"/>
        <w:snapToGrid/>
        <w:spacing w:line="560" w:lineRule="exact"/>
        <w:ind w:left="0" w:leftChars="0" w:right="0" w:firstLine="638"/>
        <w:jc w:val="both"/>
        <w:textAlignment w:val="auto"/>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SA"/>
          <w14:textFill>
            <w14:solidFill>
              <w14:schemeClr w14:val="tx1"/>
            </w14:solidFill>
          </w14:textFill>
        </w:rPr>
        <w:t>（七）实施“亩产效益”分类评价工作考核制度。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将“亩产效益”评价工作情况纳入对镇（街）考核。细化对镇（街）“亩产效益”分类评价工作考核措施，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将</w:t>
      </w:r>
      <w:r>
        <w:rPr>
          <w:rFonts w:hint="eastAsia" w:cs="仿宋_GB2312"/>
          <w:color w:val="000000" w:themeColor="text1"/>
          <w:sz w:val="32"/>
          <w:szCs w:val="32"/>
          <w:highlight w:val="none"/>
          <w:lang w:val="en-US" w:eastAsia="zh-CN"/>
          <w14:textFill>
            <w14:solidFill>
              <w14:schemeClr w14:val="tx1"/>
            </w14:solidFill>
          </w14:textFill>
        </w:rPr>
        <w:t>亩均税收及增幅、亩均销售收入及增幅、重点任务完成情况</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作为考核依据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w:t>
      </w:r>
      <w:r>
        <w:rPr>
          <w:rFonts w:hint="eastAsia" w:ascii="楷体_GB2312" w:hAnsi="楷体_GB2312" w:eastAsia="楷体_GB2312" w:cs="楷体_GB2312"/>
          <w:b w:val="0"/>
          <w:bCs w:val="0"/>
          <w:color w:val="000000" w:themeColor="text1"/>
          <w:kern w:val="0"/>
          <w:sz w:val="32"/>
          <w:szCs w:val="32"/>
          <w:lang w:val="en-US" w:eastAsia="zh-CN" w:bidi="ar-SA"/>
          <w14:textFill>
            <w14:solidFill>
              <w14:schemeClr w14:val="tx1"/>
            </w14:solidFill>
          </w14:textFill>
        </w:rPr>
        <w:t>责任单位：区工业和信息化局</w:t>
      </w: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w:t>
      </w:r>
    </w:p>
    <w:p>
      <w:pPr>
        <w:pStyle w:val="3"/>
        <w:keepNext w:val="0"/>
        <w:keepLines w:val="0"/>
        <w:pageBreakBefore w:val="0"/>
        <w:widowControl w:val="0"/>
        <w:kinsoku/>
        <w:wordWrap/>
        <w:topLinePunct w:val="0"/>
        <w:autoSpaceDE/>
        <w:autoSpaceDN/>
        <w:bidi w:val="0"/>
        <w:snapToGrid/>
        <w:spacing w:line="560" w:lineRule="exact"/>
        <w:ind w:left="0" w:leftChars="0" w:right="0" w:firstLine="638"/>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以上政策措施制定与实施</w:t>
      </w:r>
      <w:r>
        <w:rPr>
          <w:rFonts w:hint="eastAsia" w:cs="仿宋_GB2312"/>
          <w:color w:val="000000" w:themeColor="text1"/>
          <w:sz w:val="32"/>
          <w:szCs w:val="32"/>
          <w:lang w:val="en-US" w:eastAsia="zh-CN"/>
          <w14:textFill>
            <w14:solidFill>
              <w14:schemeClr w14:val="tx1"/>
            </w14:solidFill>
          </w14:textFill>
        </w:rPr>
        <w:t>的过程中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，国家、省、市</w:t>
      </w:r>
      <w:r>
        <w:rPr>
          <w:rFonts w:hint="eastAsia" w:cs="仿宋_GB2312"/>
          <w:color w:val="000000" w:themeColor="text1"/>
          <w:sz w:val="32"/>
          <w:szCs w:val="32"/>
          <w:lang w:val="en-US" w:eastAsia="zh-CN"/>
          <w14:textFill>
            <w14:solidFill>
              <w14:schemeClr w14:val="tx1"/>
            </w14:solidFill>
          </w14:textFill>
        </w:rPr>
        <w:t>另有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政策</w:t>
      </w:r>
      <w:r>
        <w:rPr>
          <w:rFonts w:hint="eastAsia" w:cs="仿宋_GB2312"/>
          <w:color w:val="000000" w:themeColor="text1"/>
          <w:sz w:val="32"/>
          <w:szCs w:val="32"/>
          <w:lang w:val="en-US" w:eastAsia="zh-CN"/>
          <w14:textFill>
            <w14:solidFill>
              <w14:schemeClr w14:val="tx1"/>
            </w14:solidFill>
          </w14:textFill>
        </w:rPr>
        <w:t>规定的，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从其规定。</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三、保障措施</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trike/>
          <w:dstrike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（一）加强组织领导。</w:t>
      </w:r>
      <w:r>
        <w:rPr>
          <w:rFonts w:hint="eastAsia" w:ascii="仿宋_GB2312" w:hAnsi="仿宋_GB2312" w:eastAsia="仿宋_GB2312" w:cs="仿宋_GB2312"/>
          <w:color w:val="000000" w:themeColor="text1"/>
          <w:sz w:val="32"/>
          <w:szCs w:val="32"/>
          <w14:textFill>
            <w14:solidFill>
              <w14:schemeClr w14:val="tx1"/>
            </w14:solidFill>
          </w14:textFill>
        </w:rPr>
        <w:t>成立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“亩产效益”评价改革工作领导小组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名单见附件1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，组长由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长担任，领导小组办公室设在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工业和信息化局，负责整体工作的协调推进。建立联席会议制度，不定期召开领导小组成员联席会议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trike w:val="0"/>
          <w:dstrike w:val="0"/>
          <w:color w:val="000000" w:themeColor="text1"/>
          <w:sz w:val="32"/>
          <w:szCs w:val="32"/>
          <w:u w:val="none"/>
          <w14:textFill>
            <w14:solidFill>
              <w14:schemeClr w14:val="tx1"/>
            </w14:solidFill>
          </w14:textFill>
        </w:rPr>
        <w:t>及时解决“亩产效益”评价改革工作中的具体问题和有关事项。</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（二）明确部门职责。</w:t>
      </w:r>
      <w:r>
        <w:rPr>
          <w:rFonts w:hint="eastAsia" w:ascii="仿宋_GB2312" w:hAnsi="仿宋_GB2312" w:eastAsia="仿宋_GB2312" w:cs="仿宋_GB2312"/>
          <w:color w:val="000000" w:themeColor="text1"/>
          <w:sz w:val="32"/>
          <w:szCs w:val="32"/>
          <w14:textFill>
            <w14:solidFill>
              <w14:schemeClr w14:val="tx1"/>
            </w14:solidFill>
          </w14:textFill>
        </w:rPr>
        <w:t>评价指标按照“谁主管、谁统计、谁负责”的原则，各有关部门负责提供数据，并建立与评价体系相关的企业基础数据台账。发改、自然资源、供电、城乡水务、生态环境、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财政、</w:t>
      </w:r>
      <w:r>
        <w:rPr>
          <w:rFonts w:hint="eastAsia" w:ascii="仿宋_GB2312" w:hAnsi="仿宋_GB2312" w:eastAsia="仿宋_GB2312" w:cs="仿宋_GB2312"/>
          <w:color w:val="000000" w:themeColor="text1"/>
          <w:sz w:val="32"/>
          <w:szCs w:val="32"/>
          <w14:textFill>
            <w14:solidFill>
              <w14:schemeClr w14:val="tx1"/>
            </w14:solidFill>
          </w14:textFill>
        </w:rPr>
        <w:t>金融</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税务</w:t>
      </w:r>
      <w:r>
        <w:rPr>
          <w:rFonts w:hint="eastAsia" w:ascii="仿宋_GB2312" w:hAnsi="仿宋_GB2312" w:eastAsia="仿宋_GB2312" w:cs="仿宋_GB2312"/>
          <w:color w:val="000000" w:themeColor="text1"/>
          <w:sz w:val="32"/>
          <w:szCs w:val="32"/>
          <w14:textFill>
            <w14:solidFill>
              <w14:schemeClr w14:val="tx1"/>
            </w14:solidFill>
          </w14:textFill>
        </w:rPr>
        <w:t>等部门要积极制定并实施资源要素差别化配置政策，把评价等级作为要素分配、政策支持和行政监管的重要依据。</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（三）狠抓工作落实。</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经济开发区、</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各镇（</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街</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及</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区</w:t>
      </w:r>
      <w:r>
        <w:rPr>
          <w:rFonts w:hint="eastAsia" w:ascii="仿宋_GB2312" w:hAnsi="仿宋_GB2312" w:eastAsia="仿宋_GB2312" w:cs="仿宋_GB2312"/>
          <w:color w:val="000000" w:themeColor="text1"/>
          <w:sz w:val="32"/>
          <w:szCs w:val="32"/>
          <w:lang w:bidi="ar"/>
          <w14:textFill>
            <w14:solidFill>
              <w14:schemeClr w14:val="tx1"/>
            </w14:solidFill>
          </w14:textFill>
        </w:rPr>
        <w:t>直有关部门</w:t>
      </w:r>
      <w:r>
        <w:rPr>
          <w:rFonts w:hint="eastAsia" w:ascii="仿宋_GB2312" w:hAnsi="仿宋_GB2312" w:eastAsia="仿宋_GB2312" w:cs="仿宋_GB2312"/>
          <w:color w:val="000000" w:themeColor="text1"/>
          <w:sz w:val="32"/>
          <w:szCs w:val="32"/>
          <w14:textFill>
            <w14:solidFill>
              <w14:schemeClr w14:val="tx1"/>
            </w14:solidFill>
          </w14:textFill>
        </w:rPr>
        <w:t>要压实责任、分工协作、共同推进、形成合力。要加大对C、D类企业的执法检查力度，严格各类违法违规行为的处罚；要引导企业利用</w:t>
      </w:r>
      <w:r>
        <w:rPr>
          <w:rFonts w:hint="eastAsia" w:ascii="仿宋_GB2312" w:hAnsi="仿宋_GB2312" w:eastAsia="仿宋_GB2312" w:cs="仿宋_GB2312"/>
          <w:color w:val="000000" w:themeColor="text1"/>
          <w:sz w:val="32"/>
          <w:szCs w:val="32"/>
          <w:highlight w:val="none"/>
          <w14:textFill>
            <w14:solidFill>
              <w14:schemeClr w14:val="tx1"/>
            </w14:solidFill>
          </w14:textFill>
        </w:rPr>
        <w:t>“零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增</w:t>
      </w:r>
      <w:r>
        <w:rPr>
          <w:rFonts w:hint="eastAsia" w:ascii="仿宋_GB2312" w:hAnsi="仿宋_GB2312" w:eastAsia="仿宋_GB2312" w:cs="仿宋_GB2312"/>
          <w:color w:val="000000" w:themeColor="text1"/>
          <w:sz w:val="32"/>
          <w:szCs w:val="32"/>
          <w:highlight w:val="none"/>
          <w14:textFill>
            <w14:solidFill>
              <w14:schemeClr w14:val="tx1"/>
            </w14:solidFill>
          </w14:textFill>
        </w:rPr>
        <w:t>地”技改</w:t>
      </w:r>
      <w:r>
        <w:rPr>
          <w:rFonts w:hint="eastAsia" w:ascii="仿宋_GB2312" w:hAnsi="仿宋_GB2312" w:eastAsia="仿宋_GB2312" w:cs="仿宋_GB2312"/>
          <w:color w:val="000000" w:themeColor="text1"/>
          <w:sz w:val="32"/>
          <w:szCs w:val="32"/>
          <w14:textFill>
            <w14:solidFill>
              <w14:schemeClr w14:val="tx1"/>
            </w14:solidFill>
          </w14:textFill>
        </w:rPr>
        <w:t>等方式进行提升，对提升无望的企业加快淘汰退出。</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Times New Roman" w:hAnsi="Times New Roman" w:eastAsia="仿宋" w:cs="Times New Roman"/>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（四）加大宣传力度。</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经济开发区、</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各镇（</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街</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sz w:val="32"/>
          <w:szCs w:val="32"/>
          <w:lang w:bidi="ar"/>
          <w14:textFill>
            <w14:solidFill>
              <w14:schemeClr w14:val="tx1"/>
            </w14:solidFill>
          </w14:textFill>
        </w:rPr>
        <w:t>及</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区</w:t>
      </w:r>
      <w:r>
        <w:rPr>
          <w:rFonts w:hint="eastAsia" w:ascii="仿宋_GB2312" w:hAnsi="仿宋_GB2312" w:eastAsia="仿宋_GB2312" w:cs="仿宋_GB2312"/>
          <w:color w:val="000000" w:themeColor="text1"/>
          <w:sz w:val="32"/>
          <w:szCs w:val="32"/>
          <w:lang w:bidi="ar"/>
          <w14:textFill>
            <w14:solidFill>
              <w14:schemeClr w14:val="tx1"/>
            </w14:solidFill>
          </w14:textFill>
        </w:rPr>
        <w:t>直有关部门要加大</w:t>
      </w:r>
      <w:r>
        <w:rPr>
          <w:rFonts w:hint="eastAsia" w:ascii="仿宋_GB2312" w:hAnsi="仿宋_GB2312" w:eastAsia="仿宋_GB2312" w:cs="仿宋_GB2312"/>
          <w:color w:val="000000" w:themeColor="text1"/>
          <w:sz w:val="32"/>
          <w:szCs w:val="32"/>
          <w14:textFill>
            <w14:solidFill>
              <w14:schemeClr w14:val="tx1"/>
            </w14:solidFill>
          </w14:textFill>
        </w:rPr>
        <w:t>“亩产效益”评价改革</w:t>
      </w:r>
      <w:r>
        <w:rPr>
          <w:rFonts w:hint="eastAsia" w:ascii="仿宋_GB2312" w:hAnsi="仿宋_GB2312" w:eastAsia="仿宋_GB2312" w:cs="仿宋_GB2312"/>
          <w:color w:val="000000" w:themeColor="text1"/>
          <w:sz w:val="32"/>
          <w:szCs w:val="32"/>
          <w:lang w:bidi="ar"/>
          <w14:textFill>
            <w14:solidFill>
              <w14:schemeClr w14:val="tx1"/>
            </w14:solidFill>
          </w14:textFill>
        </w:rPr>
        <w:t>工作的宣传力度，积极做好有关评价指标、政策措施的解读说明。通过报刊、电视、网络等媒体广泛宣传工作进展，做好企业宣传，充分发</w:t>
      </w:r>
      <w:r>
        <w:rPr>
          <w:rFonts w:hint="eastAsia" w:ascii="仿宋_GB2312" w:hAnsi="仿宋_GB2312" w:eastAsia="仿宋_GB2312" w:cs="仿宋_GB2312"/>
          <w:color w:val="000000" w:themeColor="text1"/>
          <w:sz w:val="32"/>
          <w:szCs w:val="32"/>
          <w14:textFill>
            <w14:solidFill>
              <w14:schemeClr w14:val="tx1"/>
            </w14:solidFill>
          </w14:textFill>
        </w:rPr>
        <w:t>挥企业的主观能动性，认真听取企业建议，共同营造良好氛围</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SA"/>
          <w14:textFill>
            <w14:solidFill>
              <w14:schemeClr w14:val="tx1"/>
            </w14:solidFill>
          </w14:textFill>
        </w:rPr>
        <w:t>（五）严肃工作纪律。</w:t>
      </w:r>
      <w:r>
        <w:rPr>
          <w:rFonts w:hint="eastAsia" w:ascii="仿宋_GB2312" w:hAnsi="仿宋_GB2312" w:eastAsia="仿宋_GB2312" w:cs="仿宋_GB2312"/>
          <w:color w:val="000000" w:themeColor="text1"/>
          <w:sz w:val="32"/>
          <w:szCs w:val="32"/>
          <w14:textFill>
            <w14:solidFill>
              <w14:schemeClr w14:val="tx1"/>
            </w14:solidFill>
          </w14:textFill>
        </w:rPr>
        <w:t>各企业涉及数据仅供“亩产效益”评价使用，各有关部门要严格保障企业数据信息安全，除法律、法规另有规定，不得公开或挪作他用。</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所有人员均需履行保密责任，在公开发布综合评价结果前，一律不得对外泄露相关信息。相关部门未经允许，不得使用综合评价数据或发布相关信息。对在工作中违反纪律规定的人员及部门依法依规追究责任。</w:t>
      </w:r>
    </w:p>
    <w:p>
      <w:pPr>
        <w:keepNext w:val="0"/>
        <w:keepLines w:val="0"/>
        <w:pageBreakBefore w:val="0"/>
        <w:widowControl w:val="0"/>
        <w:kinsoku/>
        <w:wordWrap/>
        <w:topLinePunct w:val="0"/>
        <w:autoSpaceDE/>
        <w:autoSpaceDN/>
        <w:bidi w:val="0"/>
        <w:adjustRightInd w:val="0"/>
        <w:snapToGrid/>
        <w:spacing w:line="560" w:lineRule="exact"/>
        <w:ind w:left="0" w:leftChars="0" w:right="0" w:firstLine="640" w:firstLineChars="200"/>
        <w:textAlignment w:val="auto"/>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lang w:val="en-US" w:eastAsia="zh-CN" w:bidi="ar-SA"/>
          <w14:textFill>
            <w14:solidFill>
              <w14:schemeClr w14:val="tx1"/>
            </w14:solidFill>
          </w14:textFill>
        </w:rPr>
        <w:t>（六）建立纠错机制。</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健全综合评价结果公示、接受投诉纠错等制度。综合评价结果及时向有关部门和企业进行通报。因客观原因造成综合评价结果有误或遗漏的，由企业申请，经镇</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街</w:t>
      </w:r>
      <w:r>
        <w:rPr>
          <w:rFonts w:hint="eastAsia" w:ascii="仿宋_GB2312" w:hAnsi="仿宋_GB2312" w:eastAsia="仿宋_GB2312" w:cs="仿宋_GB2312"/>
          <w:color w:val="000000" w:themeColor="text1"/>
          <w:kern w:val="0"/>
          <w:sz w:val="32"/>
          <w:szCs w:val="32"/>
          <w:lang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审核，报</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区</w:t>
      </w:r>
      <w:r>
        <w:rPr>
          <w:rFonts w:hint="eastAsia" w:ascii="仿宋_GB2312" w:hAnsi="仿宋_GB2312" w:eastAsia="仿宋_GB2312" w:cs="仿宋_GB2312"/>
          <w:color w:val="000000" w:themeColor="text1"/>
          <w:kern w:val="0"/>
          <w:sz w:val="32"/>
          <w:szCs w:val="32"/>
          <w:lang w:bidi="ar"/>
          <w14:textFill>
            <w14:solidFill>
              <w14:schemeClr w14:val="tx1"/>
            </w14:solidFill>
          </w14:textFill>
        </w:rPr>
        <w:t>“亩产效益”评价改革工作领导小组核定，对综合评价结果予以调整。</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本方案自</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发布</w:t>
      </w:r>
      <w:r>
        <w:rPr>
          <w:rFonts w:hint="eastAsia" w:ascii="仿宋_GB2312" w:hAnsi="仿宋_GB2312" w:eastAsia="仿宋_GB2312" w:cs="仿宋_GB2312"/>
          <w:color w:val="000000" w:themeColor="text1"/>
          <w:sz w:val="32"/>
          <w:szCs w:val="32"/>
          <w14:textFill>
            <w14:solidFill>
              <w14:schemeClr w14:val="tx1"/>
            </w14:solidFill>
          </w14:textFill>
        </w:rPr>
        <w:t>之日起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关于印发台儿庄区工业企业“亩产效益”综合评价工作实施方案的通知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台政办发〔2020〕1号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同步废止。</w:t>
      </w:r>
      <w:r>
        <w:rPr>
          <w:rFonts w:hint="eastAsia" w:ascii="仿宋_GB2312" w:hAnsi="仿宋_GB2312" w:eastAsia="仿宋_GB2312" w:cs="仿宋_GB2312"/>
          <w:color w:val="000000" w:themeColor="text1"/>
          <w:sz w:val="32"/>
          <w:szCs w:val="32"/>
          <w14:textFill>
            <w14:solidFill>
              <w14:schemeClr w14:val="tx1"/>
            </w14:solidFill>
          </w14:textFill>
        </w:rPr>
        <w:t>要素资源差别化配置政策措施的实施周期以工业企业“亩产效益”评价的工作周期为准，即从当年度评价结果公布之日起，至下年度评价结果公布之日止。本实施方案由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“亩产效益”评价改革工作领导小组办公室负责解释，并根据省、市政策变化及我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实际予以修订完善。</w:t>
      </w:r>
    </w:p>
    <w:p>
      <w:pPr>
        <w:pStyle w:val="6"/>
        <w:keepNext w:val="0"/>
        <w:keepLines w:val="0"/>
        <w:pageBreakBefore w:val="0"/>
        <w:widowControl w:val="0"/>
        <w:kinsoku/>
        <w:wordWrap/>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pStyle w:val="6"/>
        <w:keepNext w:val="0"/>
        <w:keepLines w:val="0"/>
        <w:pageBreakBefore w:val="0"/>
        <w:widowControl w:val="0"/>
        <w:kinsoku/>
        <w:wordWrap/>
        <w:topLinePunct w:val="0"/>
        <w:autoSpaceDE/>
        <w:autoSpaceDN/>
        <w:bidi w:val="0"/>
        <w:adjustRightInd w:val="0"/>
        <w:spacing w:before="0" w:beforeAutospacing="0" w:after="0" w:afterAutospacing="0" w:line="560" w:lineRule="exact"/>
        <w:ind w:left="1918" w:leftChars="304" w:right="0" w:hanging="1280" w:hangingChars="400"/>
        <w:jc w:val="both"/>
        <w:textAlignment w:val="auto"/>
        <w:rPr>
          <w:rFonts w:hint="eastAsia" w:ascii="仿宋_GB2312" w:hAnsi="仿宋_GB2312" w:eastAsia="仿宋_GB2312" w:cs="仿宋_GB2312"/>
          <w:color w:val="000000" w:themeColor="text1"/>
          <w:spacing w:val="-2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台儿庄区</w:t>
      </w:r>
      <w:r>
        <w:rPr>
          <w:rFonts w:hint="eastAsia" w:ascii="仿宋_GB2312" w:hAnsi="仿宋_GB2312" w:eastAsia="仿宋_GB2312" w:cs="仿宋_GB2312"/>
          <w:color w:val="000000" w:themeColor="text1"/>
          <w:spacing w:val="-20"/>
          <w:sz w:val="32"/>
          <w:szCs w:val="32"/>
          <w14:textFill>
            <w14:solidFill>
              <w14:schemeClr w14:val="tx1"/>
            </w14:solidFill>
          </w14:textFill>
        </w:rPr>
        <w:t>“亩产效益”评价改革工作领导小组成员名单</w:t>
      </w:r>
    </w:p>
    <w:p>
      <w:pPr>
        <w:pStyle w:val="6"/>
        <w:keepNext w:val="0"/>
        <w:keepLines w:val="0"/>
        <w:pageBreakBefore w:val="0"/>
        <w:widowControl w:val="0"/>
        <w:kinsoku/>
        <w:wordWrap/>
        <w:topLinePunct w:val="0"/>
        <w:autoSpaceDE/>
        <w:autoSpaceDN/>
        <w:bidi w:val="0"/>
        <w:adjustRightInd w:val="0"/>
        <w:spacing w:before="0" w:beforeAutospacing="0" w:after="0" w:afterAutospacing="0" w:line="560" w:lineRule="exact"/>
        <w:ind w:left="0" w:leftChars="0" w:right="0" w:firstLine="1600" w:firstLineChars="5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台儿庄区</w:t>
      </w:r>
      <w:r>
        <w:rPr>
          <w:rFonts w:hint="eastAsia" w:ascii="仿宋_GB2312" w:hAnsi="仿宋_GB2312" w:eastAsia="仿宋_GB2312" w:cs="仿宋_GB2312"/>
          <w:color w:val="000000" w:themeColor="text1"/>
          <w:sz w:val="32"/>
          <w:szCs w:val="32"/>
          <w14:textFill>
            <w14:solidFill>
              <w14:schemeClr w14:val="tx1"/>
            </w14:solidFill>
          </w14:textFill>
        </w:rPr>
        <w:t>“亩产效益”评价改革部门工作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职责</w:t>
      </w:r>
    </w:p>
    <w:p>
      <w:pPr>
        <w:pStyle w:val="6"/>
        <w:keepNext w:val="0"/>
        <w:keepLines w:val="0"/>
        <w:pageBreakBefore w:val="0"/>
        <w:widowControl w:val="0"/>
        <w:kinsoku/>
        <w:wordWrap/>
        <w:topLinePunct w:val="0"/>
        <w:autoSpaceDE/>
        <w:autoSpaceDN/>
        <w:bidi w:val="0"/>
        <w:adjustRightInd w:val="0"/>
        <w:spacing w:before="0" w:beforeAutospacing="0" w:after="0" w:afterAutospacing="0" w:line="560" w:lineRule="exact"/>
        <w:ind w:left="0" w:leftChars="0" w:right="0" w:firstLine="1600" w:firstLineChars="5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3.主要指标解释及数据来源</w:t>
      </w:r>
    </w:p>
    <w:p>
      <w:pPr>
        <w:pStyle w:val="6"/>
        <w:keepNext w:val="0"/>
        <w:keepLines w:val="0"/>
        <w:pageBreakBefore w:val="0"/>
        <w:widowControl w:val="0"/>
        <w:kinsoku/>
        <w:wordWrap/>
        <w:topLinePunct w:val="0"/>
        <w:autoSpaceDE/>
        <w:autoSpaceDN/>
        <w:bidi w:val="0"/>
        <w:adjustRightInd w:val="0"/>
        <w:spacing w:before="0" w:beforeAutospacing="0" w:after="0" w:afterAutospacing="0" w:line="560" w:lineRule="exact"/>
        <w:ind w:left="0" w:leftChars="0" w:right="0" w:firstLine="640" w:firstLineChars="200"/>
        <w:textAlignment w:val="auto"/>
        <w:rPr>
          <w:rFonts w:hint="eastAsia" w:ascii="Times New Roman" w:hAnsi="Times New Roman" w:eastAsia="仿宋" w:cs="Times New Roman"/>
          <w:color w:val="000000" w:themeColor="text1"/>
          <w:sz w:val="32"/>
          <w:szCs w:val="32"/>
          <w14:textFill>
            <w14:solidFill>
              <w14:schemeClr w14:val="tx1"/>
            </w14:solidFill>
          </w14:textFill>
        </w:rPr>
      </w:pPr>
    </w:p>
    <w:p>
      <w:pPr>
        <w:pStyle w:val="6"/>
        <w:keepNext w:val="0"/>
        <w:keepLines w:val="0"/>
        <w:pageBreakBefore w:val="0"/>
        <w:widowControl w:val="0"/>
        <w:kinsoku/>
        <w:wordWrap/>
        <w:topLinePunct w:val="0"/>
        <w:autoSpaceDE/>
        <w:autoSpaceDN/>
        <w:bidi w:val="0"/>
        <w:adjustRightInd w:val="0"/>
        <w:spacing w:before="0" w:beforeAutospacing="0" w:after="0" w:afterAutospacing="0" w:line="560" w:lineRule="exact"/>
        <w:ind w:left="0" w:leftChars="0" w:right="0" w:firstLine="640" w:firstLineChars="200"/>
        <w:textAlignment w:val="auto"/>
        <w:rPr>
          <w:rFonts w:hint="eastAsia" w:ascii="Times New Roman" w:hAnsi="Times New Roman" w:eastAsia="仿宋" w:cs="Times New Roman"/>
          <w:color w:val="000000" w:themeColor="text1"/>
          <w:sz w:val="32"/>
          <w:szCs w:val="32"/>
          <w14:textFill>
            <w14:solidFill>
              <w14:schemeClr w14:val="tx1"/>
            </w14:solidFill>
          </w14:textFill>
        </w:rPr>
      </w:pPr>
    </w:p>
    <w:p>
      <w:pPr>
        <w:pStyle w:val="6"/>
        <w:keepNext w:val="0"/>
        <w:keepLines w:val="0"/>
        <w:pageBreakBefore w:val="0"/>
        <w:widowControl w:val="0"/>
        <w:kinsoku/>
        <w:wordWrap/>
        <w:topLinePunct w:val="0"/>
        <w:autoSpaceDE/>
        <w:autoSpaceDN/>
        <w:bidi w:val="0"/>
        <w:adjustRightInd w:val="0"/>
        <w:spacing w:before="0" w:beforeAutospacing="0" w:after="0" w:afterAutospacing="0" w:line="560" w:lineRule="exact"/>
        <w:ind w:left="0" w:leftChars="0" w:right="0" w:firstLine="640" w:firstLineChars="200"/>
        <w:textAlignment w:val="auto"/>
        <w:rPr>
          <w:rFonts w:hint="eastAsia" w:ascii="Times New Roman" w:hAnsi="Times New Roman" w:eastAsia="仿宋" w:cs="Times New Roman"/>
          <w:color w:val="000000" w:themeColor="text1"/>
          <w:sz w:val="32"/>
          <w:szCs w:val="32"/>
          <w14:textFill>
            <w14:solidFill>
              <w14:schemeClr w14:val="tx1"/>
            </w14:solidFill>
          </w14:textFill>
        </w:rPr>
      </w:pPr>
    </w:p>
    <w:p>
      <w:pPr>
        <w:pStyle w:val="6"/>
        <w:keepNext w:val="0"/>
        <w:keepLines w:val="0"/>
        <w:pageBreakBefore w:val="0"/>
        <w:widowControl w:val="0"/>
        <w:kinsoku/>
        <w:wordWrap/>
        <w:topLinePunct w:val="0"/>
        <w:autoSpaceDE/>
        <w:autoSpaceDN/>
        <w:bidi w:val="0"/>
        <w:adjustRightInd w:val="0"/>
        <w:spacing w:before="0" w:beforeAutospacing="0" w:after="0" w:afterAutospacing="0" w:line="560" w:lineRule="exact"/>
        <w:ind w:left="0" w:leftChars="0" w:right="0" w:firstLine="640" w:firstLineChars="200"/>
        <w:textAlignment w:val="auto"/>
        <w:rPr>
          <w:rFonts w:hint="eastAsia" w:ascii="Times New Roman" w:hAnsi="Times New Roman"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topLinePunct w:val="0"/>
        <w:autoSpaceDE/>
        <w:autoSpaceDN/>
        <w:bidi w:val="0"/>
        <w:spacing w:line="560" w:lineRule="exact"/>
        <w:textAlignment w:val="auto"/>
        <w:rPr>
          <w:rFonts w:hint="eastAsia" w:ascii="Times New Roman" w:hAnsi="Times New Roman" w:eastAsia="仿宋" w:cs="Times New Roman"/>
          <w:color w:val="000000" w:themeColor="text1"/>
          <w:sz w:val="32"/>
          <w:szCs w:val="32"/>
          <w14:textFill>
            <w14:solidFill>
              <w14:schemeClr w14:val="tx1"/>
            </w14:solidFill>
          </w14:textFill>
        </w:rPr>
      </w:pPr>
      <w:r>
        <w:rPr>
          <w:rFonts w:hint="eastAsia" w:ascii="Times New Roman" w:hAnsi="Times New Roman" w:eastAsia="仿宋" w:cs="Times New Roman"/>
          <w:color w:val="000000" w:themeColor="text1"/>
          <w:sz w:val="32"/>
          <w:szCs w:val="32"/>
          <w14:textFill>
            <w14:solidFill>
              <w14:schemeClr w14:val="tx1"/>
            </w14:solidFill>
          </w14:textFill>
        </w:rPr>
        <w:br w:type="page"/>
      </w:r>
    </w:p>
    <w:p>
      <w:pPr>
        <w:pStyle w:val="6"/>
        <w:keepNext w:val="0"/>
        <w:keepLines w:val="0"/>
        <w:pageBreakBefore w:val="0"/>
        <w:widowControl w:val="0"/>
        <w:kinsoku/>
        <w:wordWrap/>
        <w:topLinePunct w:val="0"/>
        <w:autoSpaceDE/>
        <w:autoSpaceDN/>
        <w:bidi w:val="0"/>
        <w:adjustRightInd w:val="0"/>
        <w:snapToGrid w:val="0"/>
        <w:spacing w:before="0" w:beforeAutospacing="0" w:after="0" w:afterAutospacing="0" w:line="560" w:lineRule="exact"/>
        <w:ind w:left="0" w:leftChars="0" w:right="0"/>
        <w:textAlignment w:val="auto"/>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附件1</w:t>
      </w:r>
    </w:p>
    <w:p>
      <w:pPr>
        <w:pStyle w:val="6"/>
        <w:keepNext w:val="0"/>
        <w:keepLines w:val="0"/>
        <w:pageBreakBefore w:val="0"/>
        <w:widowControl w:val="0"/>
        <w:kinsoku/>
        <w:wordWrap/>
        <w:topLinePunct w:val="0"/>
        <w:autoSpaceDE/>
        <w:autoSpaceDN/>
        <w:bidi w:val="0"/>
        <w:adjustRightInd w:val="0"/>
        <w:snapToGrid w:val="0"/>
        <w:spacing w:before="0" w:beforeAutospacing="0" w:after="0" w:afterAutospacing="0" w:line="560" w:lineRule="exact"/>
        <w:ind w:left="0" w:leftChars="0" w:right="0"/>
        <w:textAlignment w:val="auto"/>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jc w:val="center"/>
        <w:textAlignment w:val="auto"/>
        <w:rPr>
          <w:rFonts w:hint="eastAsia" w:eastAsia="方正小标宋简体"/>
          <w:bCs/>
          <w:color w:val="000000" w:themeColor="text1"/>
          <w:kern w:val="0"/>
          <w:sz w:val="44"/>
          <w:szCs w:val="44"/>
          <w14:textFill>
            <w14:solidFill>
              <w14:schemeClr w14:val="tx1"/>
            </w14:solidFill>
          </w14:textFill>
        </w:rPr>
      </w:pPr>
      <w:r>
        <w:rPr>
          <w:rFonts w:hint="eastAsia" w:eastAsia="方正小标宋简体"/>
          <w:bCs/>
          <w:color w:val="000000" w:themeColor="text1"/>
          <w:kern w:val="0"/>
          <w:sz w:val="44"/>
          <w:szCs w:val="44"/>
          <w:lang w:val="en-US" w:eastAsia="zh-CN"/>
          <w14:textFill>
            <w14:solidFill>
              <w14:schemeClr w14:val="tx1"/>
            </w14:solidFill>
          </w14:textFill>
        </w:rPr>
        <w:t>台儿庄区</w:t>
      </w:r>
      <w:r>
        <w:rPr>
          <w:rFonts w:hint="eastAsia" w:eastAsia="方正小标宋简体"/>
          <w:bCs/>
          <w:color w:val="000000" w:themeColor="text1"/>
          <w:kern w:val="0"/>
          <w:sz w:val="44"/>
          <w:szCs w:val="44"/>
          <w14:textFill>
            <w14:solidFill>
              <w14:schemeClr w14:val="tx1"/>
            </w14:solidFill>
          </w14:textFill>
        </w:rPr>
        <w:t>“亩产效益”评价改革工作</w:t>
      </w:r>
    </w:p>
    <w:p>
      <w:pPr>
        <w:keepNext w:val="0"/>
        <w:keepLines w:val="0"/>
        <w:pageBreakBefore w:val="0"/>
        <w:widowControl w:val="0"/>
        <w:kinsoku/>
        <w:wordWrap/>
        <w:overflowPunct/>
        <w:topLinePunct w:val="0"/>
        <w:autoSpaceDE/>
        <w:autoSpaceDN/>
        <w:bidi w:val="0"/>
        <w:adjustRightInd w:val="0"/>
        <w:snapToGrid/>
        <w:spacing w:line="560" w:lineRule="exact"/>
        <w:ind w:left="0" w:leftChars="0" w:right="0"/>
        <w:jc w:val="center"/>
        <w:textAlignment w:val="auto"/>
        <w:rPr>
          <w:rFonts w:eastAsia="方正小标宋简体"/>
          <w:bCs/>
          <w:color w:val="000000" w:themeColor="text1"/>
          <w:kern w:val="0"/>
          <w:sz w:val="44"/>
          <w:szCs w:val="44"/>
          <w14:textFill>
            <w14:solidFill>
              <w14:schemeClr w14:val="tx1"/>
            </w14:solidFill>
          </w14:textFill>
        </w:rPr>
      </w:pPr>
      <w:r>
        <w:rPr>
          <w:rFonts w:hint="eastAsia" w:eastAsia="方正小标宋简体"/>
          <w:bCs/>
          <w:color w:val="000000" w:themeColor="text1"/>
          <w:kern w:val="0"/>
          <w:sz w:val="44"/>
          <w:szCs w:val="44"/>
          <w14:textFill>
            <w14:solidFill>
              <w14:schemeClr w14:val="tx1"/>
            </w14:solidFill>
          </w14:textFill>
        </w:rPr>
        <w:t>领导小组成员名单</w:t>
      </w:r>
    </w:p>
    <w:p>
      <w:pPr>
        <w:keepNext w:val="0"/>
        <w:keepLines w:val="0"/>
        <w:pageBreakBefore w:val="0"/>
        <w:widowControl w:val="0"/>
        <w:kinsoku/>
        <w:wordWrap/>
        <w:topLinePunct w:val="0"/>
        <w:autoSpaceDE/>
        <w:autoSpaceDN/>
        <w:bidi w:val="0"/>
        <w:adjustRightInd w:val="0"/>
        <w:spacing w:line="560" w:lineRule="exact"/>
        <w:ind w:left="0" w:leftChars="0" w:right="0" w:firstLine="880" w:firstLineChars="200"/>
        <w:textAlignment w:val="auto"/>
        <w:rPr>
          <w:rFonts w:eastAsia="方正小标宋简体"/>
          <w:bCs/>
          <w:color w:val="000000" w:themeColor="text1"/>
          <w:kern w:val="0"/>
          <w:sz w:val="44"/>
          <w:szCs w:val="4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rPr>
      </w:pPr>
      <w:r>
        <w:rPr>
          <w:rFonts w:hint="eastAsia" w:ascii="黑体" w:hAnsi="黑体" w:eastAsia="黑体" w:cs="黑体"/>
          <w:b w:val="0"/>
          <w:bCs/>
          <w:color w:val="000000" w:themeColor="text1"/>
          <w:sz w:val="32"/>
          <w:szCs w:val="32"/>
          <w14:textFill>
            <w14:solidFill>
              <w14:schemeClr w14:val="tx1"/>
            </w14:solidFill>
          </w14:textFill>
        </w:rPr>
        <w:t>组</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长：</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刘晓璐  区</w:t>
      </w:r>
      <w:r>
        <w:rPr>
          <w:rFonts w:hint="eastAsia" w:ascii="仿宋_GB2312" w:hAnsi="仿宋_GB2312" w:eastAsia="仿宋_GB2312" w:cs="仿宋_GB2312"/>
          <w:bCs/>
          <w:color w:val="auto"/>
          <w:sz w:val="32"/>
          <w:szCs w:val="32"/>
        </w:rPr>
        <w:t>委副书记、</w:t>
      </w:r>
      <w:r>
        <w:rPr>
          <w:rFonts w:hint="eastAsia" w:ascii="仿宋_GB2312" w:hAnsi="仿宋_GB2312" w:eastAsia="仿宋_GB2312" w:cs="仿宋_GB2312"/>
          <w:bCs/>
          <w:color w:val="auto"/>
          <w:sz w:val="32"/>
          <w:szCs w:val="32"/>
          <w:lang w:val="en-US" w:eastAsia="zh-CN"/>
        </w:rPr>
        <w:t>区</w:t>
      </w:r>
      <w:r>
        <w:rPr>
          <w:rFonts w:hint="eastAsia" w:ascii="仿宋_GB2312" w:hAnsi="仿宋_GB2312" w:eastAsia="仿宋_GB2312" w:cs="仿宋_GB2312"/>
          <w:bCs/>
          <w:color w:val="auto"/>
          <w:sz w:val="32"/>
          <w:szCs w:val="32"/>
        </w:rPr>
        <w:t>长</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lang w:val="en-US" w:eastAsia="zh-CN"/>
        </w:rPr>
      </w:pPr>
      <w:r>
        <w:rPr>
          <w:rFonts w:hint="eastAsia" w:ascii="黑体" w:hAnsi="黑体" w:eastAsia="黑体" w:cs="黑体"/>
          <w:b w:val="0"/>
          <w:bCs/>
          <w:color w:val="000000" w:themeColor="text1"/>
          <w:sz w:val="32"/>
          <w:szCs w:val="32"/>
          <w14:textFill>
            <w14:solidFill>
              <w14:schemeClr w14:val="tx1"/>
            </w14:solidFill>
          </w14:textFill>
        </w:rPr>
        <w:t>副组长：</w:t>
      </w:r>
      <w:r>
        <w:rPr>
          <w:rFonts w:hint="eastAsia" w:ascii="仿宋_GB2312" w:hAnsi="仿宋_GB2312" w:eastAsia="仿宋_GB2312" w:cs="仿宋_GB2312"/>
          <w:bCs/>
          <w:color w:val="auto"/>
          <w:sz w:val="32"/>
          <w:szCs w:val="32"/>
          <w:lang w:val="en-US" w:eastAsia="zh-CN"/>
        </w:rPr>
        <w:t>孙殿镇  经济开发区管委会主任</w:t>
      </w:r>
    </w:p>
    <w:p>
      <w:pPr>
        <w:keepNext w:val="0"/>
        <w:keepLines w:val="0"/>
        <w:pageBreakBefore w:val="0"/>
        <w:widowControl w:val="0"/>
        <w:kinsoku/>
        <w:wordWrap/>
        <w:overflowPunct/>
        <w:topLinePunct w:val="0"/>
        <w:autoSpaceDE/>
        <w:autoSpaceDN/>
        <w:bidi w:val="0"/>
        <w:spacing w:line="560" w:lineRule="exact"/>
        <w:ind w:left="0" w:leftChars="0" w:right="0" w:rightChars="0" w:firstLine="1920" w:firstLineChars="600"/>
        <w:jc w:val="left"/>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杨  庸  区委常委、常务副区长</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eastAsia="zh-CN"/>
        </w:rPr>
      </w:pPr>
      <w:r>
        <w:rPr>
          <w:rFonts w:hint="eastAsia" w:ascii="黑体" w:hAnsi="黑体" w:eastAsia="黑体" w:cs="黑体"/>
          <w:b w:val="0"/>
          <w:bCs/>
          <w:color w:val="000000" w:themeColor="text1"/>
          <w:sz w:val="32"/>
          <w:szCs w:val="32"/>
          <w14:textFill>
            <w14:solidFill>
              <w14:schemeClr w14:val="tx1"/>
            </w14:solidFill>
          </w14:textFill>
        </w:rPr>
        <w:t>成</w:t>
      </w:r>
      <w:r>
        <w:rPr>
          <w:rFonts w:hint="eastAsia" w:ascii="黑体" w:hAnsi="黑体" w:eastAsia="黑体" w:cs="黑体"/>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员：</w:t>
      </w:r>
      <w:r>
        <w:rPr>
          <w:rFonts w:hint="eastAsia" w:ascii="仿宋_GB2312" w:hAnsi="仿宋_GB2312" w:eastAsia="仿宋_GB2312" w:cs="仿宋_GB2312"/>
          <w:bCs/>
          <w:color w:val="auto"/>
          <w:sz w:val="32"/>
          <w:szCs w:val="32"/>
          <w:lang w:val="en-US" w:eastAsia="zh-CN"/>
        </w:rPr>
        <w:t>苏韶杰</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Cs/>
          <w:color w:val="auto"/>
          <w:spacing w:val="-6"/>
          <w:sz w:val="32"/>
          <w:szCs w:val="32"/>
          <w:lang w:val="en-US" w:eastAsia="zh-CN"/>
        </w:rPr>
        <w:t>区委组织部副部长、区党员教育中心主任</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陈  晶  区法院副院长</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3" w:firstLineChars="200"/>
        <w:jc w:val="left"/>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Cs/>
          <w:color w:val="auto"/>
          <w:sz w:val="32"/>
          <w:szCs w:val="32"/>
          <w:lang w:val="en-US" w:eastAsia="zh-CN"/>
        </w:rPr>
        <w:t>吴新欣</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Cs/>
          <w:color w:val="auto"/>
          <w:sz w:val="32"/>
          <w:szCs w:val="32"/>
          <w:lang w:val="en-US" w:eastAsia="zh-CN"/>
        </w:rPr>
        <w:t>区</w:t>
      </w:r>
      <w:r>
        <w:rPr>
          <w:rFonts w:hint="eastAsia" w:ascii="仿宋_GB2312" w:hAnsi="仿宋_GB2312" w:eastAsia="仿宋_GB2312" w:cs="仿宋_GB2312"/>
          <w:bCs/>
          <w:color w:val="auto"/>
          <w:sz w:val="32"/>
          <w:szCs w:val="32"/>
        </w:rPr>
        <w:t>发展改革局局长</w:t>
      </w:r>
    </w:p>
    <w:p>
      <w:pPr>
        <w:keepNext w:val="0"/>
        <w:keepLines w:val="0"/>
        <w:pageBreakBefore w:val="0"/>
        <w:widowControl w:val="0"/>
        <w:kinsoku/>
        <w:wordWrap/>
        <w:overflowPunct/>
        <w:topLinePunct w:val="0"/>
        <w:autoSpaceDE/>
        <w:autoSpaceDN/>
        <w:bidi w:val="0"/>
        <w:spacing w:line="560" w:lineRule="exact"/>
        <w:ind w:left="0" w:leftChars="0" w:right="0" w:rightChars="0" w:firstLine="643" w:firstLineChars="200"/>
        <w:jc w:val="left"/>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Cs/>
          <w:color w:val="auto"/>
          <w:sz w:val="32"/>
          <w:szCs w:val="32"/>
          <w:lang w:val="en-US" w:eastAsia="zh-CN"/>
        </w:rPr>
        <w:t>马伊娜  区科技局局长</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赵作明  区工业和信息化局局长</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彭  鹏  区财政局局长</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 xml:space="preserve">        戚  涛  区人力资</w:t>
      </w:r>
      <w:r>
        <w:rPr>
          <w:rFonts w:hint="eastAsia" w:ascii="仿宋_GB2312" w:hAnsi="仿宋_GB2312" w:eastAsia="仿宋_GB2312" w:cs="仿宋_GB2312"/>
          <w:bCs/>
          <w:color w:val="auto"/>
          <w:sz w:val="32"/>
          <w:szCs w:val="32"/>
        </w:rPr>
        <w:t>源社会保障局局长</w:t>
      </w:r>
    </w:p>
    <w:p>
      <w:pPr>
        <w:keepNext w:val="0"/>
        <w:keepLines w:val="0"/>
        <w:pageBreakBefore w:val="0"/>
        <w:widowControl w:val="0"/>
        <w:kinsoku/>
        <w:wordWrap/>
        <w:overflowPunct/>
        <w:topLinePunct w:val="0"/>
        <w:autoSpaceDE/>
        <w:autoSpaceDN/>
        <w:bidi w:val="0"/>
        <w:spacing w:line="560" w:lineRule="exact"/>
        <w:ind w:left="0" w:leftChars="0" w:right="0" w:rightChars="0" w:firstLine="643" w:firstLineChars="200"/>
        <w:jc w:val="left"/>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Cs/>
          <w:color w:val="auto"/>
          <w:sz w:val="32"/>
          <w:szCs w:val="32"/>
          <w:lang w:val="en-US" w:eastAsia="zh-CN"/>
        </w:rPr>
        <w:t>韩建斌  区自然资源局局长</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潘  伟  区城乡水务局局长</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闫  石  区应急管理局局长</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曹中国  区审批服务局局长</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陈学超  区市场监管局局长</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谢  莹  区统计局局长</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3" w:firstLineChars="200"/>
        <w:jc w:val="left"/>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宋体" w:eastAsia="仿宋_GB2312" w:cs="仿宋_GB2312"/>
          <w:b w:val="0"/>
          <w:bCs w:val="0"/>
          <w:i w:val="0"/>
          <w:iCs w:val="0"/>
          <w:caps w:val="0"/>
          <w:color w:val="auto"/>
          <w:spacing w:val="0"/>
          <w:sz w:val="32"/>
          <w:szCs w:val="32"/>
          <w:shd w:val="clear" w:fill="FFFFFF"/>
          <w:lang w:val="en-US" w:eastAsia="zh-CN"/>
        </w:rPr>
        <w:t>刘兆全</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Cs/>
          <w:color w:val="auto"/>
          <w:sz w:val="32"/>
          <w:szCs w:val="32"/>
          <w:lang w:val="en-US" w:eastAsia="zh-CN"/>
        </w:rPr>
        <w:t>区</w:t>
      </w:r>
      <w:r>
        <w:rPr>
          <w:rFonts w:hint="eastAsia" w:ascii="仿宋_GB2312" w:hAnsi="仿宋_GB2312" w:eastAsia="仿宋_GB2312" w:cs="仿宋_GB2312"/>
          <w:bCs/>
          <w:color w:val="auto"/>
          <w:sz w:val="32"/>
          <w:szCs w:val="32"/>
        </w:rPr>
        <w:t>金融服务中心主任</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3" w:firstLineChars="200"/>
        <w:jc w:val="left"/>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        </w:t>
      </w:r>
      <w:r>
        <w:rPr>
          <w:rFonts w:ascii="仿宋_GB2312" w:hAnsi="宋体" w:eastAsia="仿宋_GB2312" w:cs="仿宋_GB2312"/>
          <w:b w:val="0"/>
          <w:bCs w:val="0"/>
          <w:i w:val="0"/>
          <w:iCs w:val="0"/>
          <w:caps w:val="0"/>
          <w:color w:val="auto"/>
          <w:spacing w:val="0"/>
          <w:sz w:val="32"/>
          <w:szCs w:val="32"/>
          <w:shd w:val="clear" w:fill="FFFFFF"/>
        </w:rPr>
        <w:t>孙晋夫</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Cs/>
          <w:color w:val="auto"/>
          <w:sz w:val="32"/>
          <w:szCs w:val="32"/>
          <w:lang w:val="en-US" w:eastAsia="zh-CN"/>
        </w:rPr>
        <w:t>区人民银行行长</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孙  刚</w:t>
      </w:r>
      <w:r>
        <w:rPr>
          <w:rFonts w:hint="eastAsia" w:ascii="仿宋_GB2312" w:hAnsi="仿宋_GB2312" w:eastAsia="仿宋_GB2312" w:cs="仿宋_GB2312"/>
          <w:bCs/>
          <w:color w:val="auto"/>
          <w:sz w:val="32"/>
          <w:szCs w:val="32"/>
          <w:lang w:val="en-US" w:eastAsia="zh-CN"/>
        </w:rPr>
        <w:t xml:space="preserve">  区税务局局长</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孙晋永  区生态环境分局局长</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3" w:firstLineChars="200"/>
        <w:jc w:val="left"/>
        <w:textAlignment w:val="auto"/>
        <w:outlineLvl w:val="9"/>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宋体" w:eastAsia="仿宋_GB2312" w:cs="仿宋_GB2312"/>
          <w:b w:val="0"/>
          <w:bCs w:val="0"/>
          <w:i w:val="0"/>
          <w:iCs w:val="0"/>
          <w:caps w:val="0"/>
          <w:color w:val="auto"/>
          <w:spacing w:val="0"/>
          <w:sz w:val="32"/>
          <w:szCs w:val="32"/>
          <w:shd w:val="clear" w:fill="FFFFFF"/>
          <w:lang w:val="en-US" w:eastAsia="zh-CN"/>
        </w:rPr>
        <w:t xml:space="preserve"> 吴石林</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Cs/>
          <w:color w:val="auto"/>
          <w:sz w:val="32"/>
          <w:szCs w:val="32"/>
          <w:lang w:val="en-US" w:eastAsia="zh-CN"/>
        </w:rPr>
        <w:t>区</w:t>
      </w:r>
      <w:r>
        <w:rPr>
          <w:rFonts w:hint="eastAsia" w:ascii="仿宋_GB2312" w:hAnsi="仿宋_GB2312" w:eastAsia="仿宋_GB2312" w:cs="仿宋_GB2312"/>
          <w:bCs/>
          <w:color w:val="auto"/>
          <w:sz w:val="32"/>
          <w:szCs w:val="32"/>
        </w:rPr>
        <w:t>供电中心主任</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3" w:firstLineChars="200"/>
        <w:jc w:val="left"/>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宋体" w:eastAsia="仿宋_GB2312" w:cs="仿宋_GB2312"/>
          <w:b w:val="0"/>
          <w:bCs w:val="0"/>
          <w:i w:val="0"/>
          <w:iCs w:val="0"/>
          <w:caps w:val="0"/>
          <w:color w:val="auto"/>
          <w:spacing w:val="0"/>
          <w:sz w:val="32"/>
          <w:szCs w:val="32"/>
          <w:shd w:val="clear" w:fill="FFFFFF"/>
          <w:lang w:val="en-US" w:eastAsia="zh-CN"/>
        </w:rPr>
        <w:t>褚洪玖</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Cs/>
          <w:color w:val="auto"/>
          <w:sz w:val="32"/>
          <w:szCs w:val="32"/>
          <w:lang w:val="en-US" w:eastAsia="zh-CN"/>
        </w:rPr>
        <w:t>经济开发区管委会经发部部长</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3" w:firstLineChars="200"/>
        <w:jc w:val="left"/>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 xml:space="preserve">        </w:t>
      </w:r>
      <w:r>
        <w:rPr>
          <w:rFonts w:hint="eastAsia" w:ascii="仿宋_GB2312" w:hAnsi="宋体" w:eastAsia="仿宋_GB2312" w:cs="仿宋_GB2312"/>
          <w:b w:val="0"/>
          <w:bCs w:val="0"/>
          <w:i w:val="0"/>
          <w:iCs w:val="0"/>
          <w:caps w:val="0"/>
          <w:color w:val="000000"/>
          <w:spacing w:val="0"/>
          <w:sz w:val="32"/>
          <w:szCs w:val="32"/>
          <w:shd w:val="clear" w:fill="FFFFFF"/>
          <w:lang w:val="en-US" w:eastAsia="zh-CN"/>
        </w:rPr>
        <w:t>赵恒洽</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张山子镇镇长</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3" w:firstLineChars="200"/>
        <w:jc w:val="left"/>
        <w:textAlignment w:val="auto"/>
        <w:outlineLvl w:val="9"/>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 xml:space="preserve">        </w:t>
      </w:r>
      <w:r>
        <w:rPr>
          <w:rFonts w:ascii="仿宋_GB2312" w:hAnsi="宋体" w:eastAsia="仿宋_GB2312" w:cs="仿宋_GB2312"/>
          <w:b w:val="0"/>
          <w:bCs w:val="0"/>
          <w:i w:val="0"/>
          <w:iCs w:val="0"/>
          <w:caps w:val="0"/>
          <w:color w:val="000000"/>
          <w:spacing w:val="0"/>
          <w:sz w:val="32"/>
          <w:szCs w:val="32"/>
          <w:shd w:val="clear" w:fill="FFFFFF"/>
        </w:rPr>
        <w:t>郭厚琛</w:t>
      </w:r>
      <w:r>
        <w:rPr>
          <w:rFonts w:hint="eastAsia" w:ascii="仿宋_GB2312" w:hAnsi="宋体" w:eastAsia="仿宋_GB2312" w:cs="仿宋_GB2312"/>
          <w:b w:val="0"/>
          <w:bCs w:val="0"/>
          <w:i w:val="0"/>
          <w:iCs w:val="0"/>
          <w:caps w:val="0"/>
          <w:color w:val="000000"/>
          <w:spacing w:val="0"/>
          <w:sz w:val="32"/>
          <w:szCs w:val="32"/>
          <w:shd w:val="clear" w:fill="FFFFFF"/>
          <w:lang w:val="en-US" w:eastAsia="zh-CN"/>
        </w:rPr>
        <w:t xml:space="preserve"> </w:t>
      </w:r>
      <w:r>
        <w:rPr>
          <w:rFonts w:hint="eastAsia" w:ascii="仿宋_GB2312" w:hAnsi="仿宋_GB2312" w:eastAsia="仿宋_GB2312" w:cs="仿宋_GB2312"/>
          <w:b/>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涧头集镇镇长</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3" w:firstLineChars="200"/>
        <w:jc w:val="left"/>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        </w:t>
      </w:r>
      <w:r>
        <w:rPr>
          <w:rFonts w:ascii="仿宋_GB2312" w:hAnsi="宋体" w:eastAsia="仿宋_GB2312" w:cs="仿宋_GB2312"/>
          <w:b w:val="0"/>
          <w:bCs w:val="0"/>
          <w:i w:val="0"/>
          <w:iCs w:val="0"/>
          <w:caps w:val="0"/>
          <w:color w:val="auto"/>
          <w:spacing w:val="0"/>
          <w:sz w:val="32"/>
          <w:szCs w:val="32"/>
          <w:shd w:val="clear" w:fill="FFFFFF"/>
        </w:rPr>
        <w:t>王</w:t>
      </w:r>
      <w:r>
        <w:rPr>
          <w:rFonts w:hint="eastAsia" w:ascii="仿宋_GB2312" w:hAnsi="宋体" w:eastAsia="仿宋_GB2312" w:cs="仿宋_GB2312"/>
          <w:b w:val="0"/>
          <w:bCs w:val="0"/>
          <w:i w:val="0"/>
          <w:iCs w:val="0"/>
          <w:caps w:val="0"/>
          <w:color w:val="auto"/>
          <w:spacing w:val="0"/>
          <w:sz w:val="32"/>
          <w:szCs w:val="32"/>
          <w:shd w:val="clear" w:fill="FFFFFF"/>
          <w:lang w:val="en-US" w:eastAsia="zh-CN"/>
        </w:rPr>
        <w:t xml:space="preserve">  </w:t>
      </w:r>
      <w:r>
        <w:rPr>
          <w:rFonts w:ascii="仿宋_GB2312" w:hAnsi="宋体" w:eastAsia="仿宋_GB2312" w:cs="仿宋_GB2312"/>
          <w:b w:val="0"/>
          <w:bCs w:val="0"/>
          <w:i w:val="0"/>
          <w:iCs w:val="0"/>
          <w:caps w:val="0"/>
          <w:color w:val="auto"/>
          <w:spacing w:val="0"/>
          <w:sz w:val="32"/>
          <w:szCs w:val="32"/>
          <w:shd w:val="clear" w:fill="FFFFFF"/>
        </w:rPr>
        <w:t>柯</w:t>
      </w:r>
      <w:r>
        <w:rPr>
          <w:rFonts w:hint="eastAsia" w:ascii="仿宋_GB2312" w:hAnsi="宋体"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Cs/>
          <w:color w:val="auto"/>
          <w:sz w:val="32"/>
          <w:szCs w:val="32"/>
          <w:lang w:val="en-US" w:eastAsia="zh-CN"/>
        </w:rPr>
        <w:t>运河街道办事处主任</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3" w:firstLineChars="200"/>
        <w:jc w:val="left"/>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        </w:t>
      </w:r>
      <w:r>
        <w:rPr>
          <w:rFonts w:ascii="仿宋_GB2312" w:hAnsi="宋体" w:eastAsia="仿宋_GB2312" w:cs="仿宋_GB2312"/>
          <w:b w:val="0"/>
          <w:bCs w:val="0"/>
          <w:i w:val="0"/>
          <w:iCs w:val="0"/>
          <w:caps w:val="0"/>
          <w:color w:val="auto"/>
          <w:spacing w:val="0"/>
          <w:sz w:val="32"/>
          <w:szCs w:val="32"/>
          <w:shd w:val="clear" w:fill="FFFFFF"/>
        </w:rPr>
        <w:t>杨</w:t>
      </w:r>
      <w:r>
        <w:rPr>
          <w:rFonts w:hint="eastAsia" w:ascii="仿宋_GB2312" w:hAnsi="宋体" w:eastAsia="仿宋_GB2312" w:cs="仿宋_GB2312"/>
          <w:b w:val="0"/>
          <w:bCs w:val="0"/>
          <w:i w:val="0"/>
          <w:iCs w:val="0"/>
          <w:caps w:val="0"/>
          <w:color w:val="auto"/>
          <w:spacing w:val="0"/>
          <w:sz w:val="32"/>
          <w:szCs w:val="32"/>
          <w:shd w:val="clear" w:fill="FFFFFF"/>
          <w:lang w:val="en-US" w:eastAsia="zh-CN"/>
        </w:rPr>
        <w:t xml:space="preserve">  </w:t>
      </w:r>
      <w:r>
        <w:rPr>
          <w:rFonts w:ascii="仿宋_GB2312" w:hAnsi="宋体" w:eastAsia="仿宋_GB2312" w:cs="仿宋_GB2312"/>
          <w:b w:val="0"/>
          <w:bCs w:val="0"/>
          <w:i w:val="0"/>
          <w:iCs w:val="0"/>
          <w:caps w:val="0"/>
          <w:color w:val="auto"/>
          <w:spacing w:val="0"/>
          <w:sz w:val="32"/>
          <w:szCs w:val="32"/>
          <w:shd w:val="clear" w:fill="FFFFFF"/>
        </w:rPr>
        <w:t>标</w:t>
      </w:r>
      <w:r>
        <w:rPr>
          <w:rFonts w:hint="eastAsia" w:ascii="仿宋_GB2312" w:hAnsi="宋体"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Cs/>
          <w:color w:val="auto"/>
          <w:sz w:val="32"/>
          <w:szCs w:val="32"/>
          <w:lang w:val="en-US" w:eastAsia="zh-CN"/>
        </w:rPr>
        <w:t>邳庄镇镇长</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3" w:firstLineChars="200"/>
        <w:jc w:val="left"/>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        </w:t>
      </w:r>
      <w:r>
        <w:rPr>
          <w:rFonts w:ascii="仿宋_GB2312" w:hAnsi="宋体" w:eastAsia="仿宋_GB2312" w:cs="仿宋_GB2312"/>
          <w:i w:val="0"/>
          <w:iCs w:val="0"/>
          <w:caps w:val="0"/>
          <w:color w:val="auto"/>
          <w:spacing w:val="0"/>
          <w:sz w:val="31"/>
          <w:szCs w:val="31"/>
          <w:shd w:val="clear" w:fill="FFFFFF"/>
        </w:rPr>
        <w:t>刘</w:t>
      </w:r>
      <w:r>
        <w:rPr>
          <w:rFonts w:hint="eastAsia" w:ascii="仿宋_GB2312" w:hAnsi="宋体" w:eastAsia="仿宋_GB2312" w:cs="仿宋_GB2312"/>
          <w:i w:val="0"/>
          <w:iCs w:val="0"/>
          <w:caps w:val="0"/>
          <w:color w:val="auto"/>
          <w:spacing w:val="0"/>
          <w:sz w:val="31"/>
          <w:szCs w:val="31"/>
          <w:shd w:val="clear" w:fill="FFFFFF"/>
          <w:lang w:val="en-US" w:eastAsia="zh-CN"/>
        </w:rPr>
        <w:t xml:space="preserve">  </w:t>
      </w:r>
      <w:r>
        <w:rPr>
          <w:rFonts w:ascii="仿宋_GB2312" w:hAnsi="宋体" w:eastAsia="仿宋_GB2312" w:cs="仿宋_GB2312"/>
          <w:i w:val="0"/>
          <w:iCs w:val="0"/>
          <w:caps w:val="0"/>
          <w:color w:val="auto"/>
          <w:spacing w:val="0"/>
          <w:sz w:val="31"/>
          <w:szCs w:val="31"/>
          <w:shd w:val="clear" w:fill="FFFFFF"/>
        </w:rPr>
        <w:t>娟</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Cs/>
          <w:color w:val="auto"/>
          <w:sz w:val="32"/>
          <w:szCs w:val="32"/>
          <w:lang w:val="en-US" w:eastAsia="zh-CN"/>
        </w:rPr>
        <w:t>马兰屯镇镇长</w:t>
      </w:r>
    </w:p>
    <w:p>
      <w:pPr>
        <w:keepNext w:val="0"/>
        <w:keepLines w:val="0"/>
        <w:pageBreakBefore w:val="0"/>
        <w:widowControl w:val="0"/>
        <w:kinsoku/>
        <w:wordWrap/>
        <w:overflowPunct/>
        <w:topLinePunct w:val="0"/>
        <w:autoSpaceDE/>
        <w:autoSpaceDN/>
        <w:bidi w:val="0"/>
        <w:spacing w:line="560" w:lineRule="exact"/>
        <w:ind w:left="0" w:leftChars="0" w:right="0" w:rightChars="0" w:firstLine="643" w:firstLineChars="200"/>
        <w:jc w:val="left"/>
        <w:textAlignment w:val="auto"/>
        <w:outlineLvl w:val="9"/>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 xml:space="preserve">        </w:t>
      </w:r>
      <w:r>
        <w:rPr>
          <w:rFonts w:ascii="仿宋_GB2312" w:hAnsi="宋体" w:eastAsia="仿宋_GB2312" w:cs="仿宋_GB2312"/>
          <w:b w:val="0"/>
          <w:bCs w:val="0"/>
          <w:i w:val="0"/>
          <w:iCs w:val="0"/>
          <w:caps w:val="0"/>
          <w:color w:val="auto"/>
          <w:spacing w:val="0"/>
          <w:sz w:val="32"/>
          <w:szCs w:val="32"/>
          <w:shd w:val="clear" w:fill="FFFFFF"/>
        </w:rPr>
        <w:t>谢宝东</w:t>
      </w:r>
      <w:r>
        <w:rPr>
          <w:rFonts w:hint="eastAsia" w:ascii="仿宋_GB2312" w:hAnsi="宋体" w:eastAsia="仿宋_GB2312" w:cs="仿宋_GB2312"/>
          <w:b w:val="0"/>
          <w:bCs w:val="0"/>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b/>
          <w:bCs w:val="0"/>
          <w:color w:val="auto"/>
          <w:sz w:val="32"/>
          <w:szCs w:val="32"/>
          <w:lang w:val="en-US" w:eastAsia="zh-CN"/>
        </w:rPr>
        <w:t xml:space="preserve"> </w:t>
      </w:r>
      <w:r>
        <w:rPr>
          <w:rFonts w:hint="eastAsia" w:ascii="仿宋_GB2312" w:hAnsi="仿宋_GB2312" w:eastAsia="仿宋_GB2312" w:cs="仿宋_GB2312"/>
          <w:bCs/>
          <w:color w:val="auto"/>
          <w:sz w:val="32"/>
          <w:szCs w:val="32"/>
          <w:lang w:val="en-US" w:eastAsia="zh-CN"/>
        </w:rPr>
        <w:t>泥沟镇镇长</w:t>
      </w:r>
    </w:p>
    <w:p>
      <w:pPr>
        <w:keepNext w:val="0"/>
        <w:keepLines w:val="0"/>
        <w:pageBreakBefore w:val="0"/>
        <w:widowControl w:val="0"/>
        <w:kinsoku/>
        <w:wordWrap/>
        <w:overflowPunct/>
        <w:topLinePunct w:val="0"/>
        <w:autoSpaceDE/>
        <w:autoSpaceDN/>
        <w:bidi w:val="0"/>
        <w:adjustRightInd w:val="0"/>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kern w:val="0"/>
          <w:sz w:val="32"/>
          <w:szCs w:val="32"/>
          <w14:textFill>
            <w14:solidFill>
              <w14:schemeClr w14:val="tx1"/>
            </w14:solidFill>
          </w14:textFill>
        </w:rPr>
        <w:t>领导小组办公室设在</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区</w:t>
      </w:r>
      <w:r>
        <w:rPr>
          <w:rFonts w:hint="eastAsia" w:ascii="仿宋_GB2312" w:hAnsi="仿宋_GB2312" w:eastAsia="仿宋_GB2312" w:cs="仿宋_GB2312"/>
          <w:bCs/>
          <w:color w:val="000000" w:themeColor="text1"/>
          <w:kern w:val="0"/>
          <w:sz w:val="32"/>
          <w:szCs w:val="32"/>
          <w14:textFill>
            <w14:solidFill>
              <w14:schemeClr w14:val="tx1"/>
            </w14:solidFill>
          </w14:textFill>
        </w:rPr>
        <w:t>工业和信息化局，</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赵作明</w:t>
      </w:r>
      <w:r>
        <w:rPr>
          <w:rFonts w:hint="eastAsia" w:ascii="仿宋_GB2312" w:hAnsi="仿宋_GB2312" w:eastAsia="仿宋_GB2312" w:cs="仿宋_GB2312"/>
          <w:bCs/>
          <w:color w:val="000000" w:themeColor="text1"/>
          <w:kern w:val="0"/>
          <w:sz w:val="32"/>
          <w:szCs w:val="32"/>
          <w14:textFill>
            <w14:solidFill>
              <w14:schemeClr w14:val="tx1"/>
            </w14:solidFill>
          </w14:textFill>
        </w:rPr>
        <w:t>同志兼任办公室主任</w:t>
      </w:r>
      <w:r>
        <w:rPr>
          <w:rFonts w:hint="eastAsia" w:ascii="仿宋_GB2312" w:hAnsi="仿宋_GB2312" w:eastAsia="仿宋_GB2312" w:cs="仿宋_GB2312"/>
          <w:bCs/>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马照光同志</w:t>
      </w:r>
      <w:r>
        <w:rPr>
          <w:rFonts w:hint="eastAsia" w:ascii="仿宋_GB2312" w:hAnsi="仿宋_GB2312" w:eastAsia="仿宋_GB2312" w:cs="仿宋_GB2312"/>
          <w:bCs/>
          <w:color w:val="000000" w:themeColor="text1"/>
          <w:kern w:val="0"/>
          <w:sz w:val="32"/>
          <w:szCs w:val="32"/>
          <w14:textFill>
            <w14:solidFill>
              <w14:schemeClr w14:val="tx1"/>
            </w14:solidFill>
          </w14:textFill>
        </w:rPr>
        <w:t>任办公室</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副主任</w:t>
      </w:r>
      <w:r>
        <w:rPr>
          <w:rFonts w:hint="eastAsia" w:ascii="仿宋_GB2312" w:hAnsi="仿宋_GB2312" w:eastAsia="仿宋_GB2312" w:cs="仿宋_GB2312"/>
          <w:bCs/>
          <w:color w:val="000000" w:themeColor="text1"/>
          <w:kern w:val="0"/>
          <w:sz w:val="32"/>
          <w:szCs w:val="32"/>
          <w14:textFill>
            <w14:solidFill>
              <w14:schemeClr w14:val="tx1"/>
            </w14:solidFill>
          </w14:textFill>
        </w:rPr>
        <w:t>，负责领导小组日常工作。</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sectPr>
          <w:footerReference r:id="rId3" w:type="default"/>
          <w:pgSz w:w="11906" w:h="16838"/>
          <w:pgMar w:top="1984" w:right="1587" w:bottom="1928" w:left="1587" w:header="851" w:footer="1134" w:gutter="0"/>
          <w:pgNumType w:fmt="numberInDash"/>
          <w:cols w:space="720" w:num="1"/>
          <w:docGrid w:type="lines" w:linePitch="319" w:charSpace="0"/>
        </w:sect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附件2</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textAlignment w:val="auto"/>
        <w:rPr>
          <w:rFonts w:hint="eastAsia" w:ascii="黑体" w:hAnsi="黑体" w:eastAsia="黑体" w:cs="黑体"/>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jc w:val="center"/>
        <w:textAlignment w:val="auto"/>
        <w:rPr>
          <w:rFonts w:hint="eastAsia" w:eastAsia="方正小标宋简体"/>
          <w:color w:val="000000" w:themeColor="text1"/>
          <w:sz w:val="44"/>
          <w:szCs w:val="44"/>
          <w:lang w:eastAsia="zh-CN"/>
          <w14:textFill>
            <w14:solidFill>
              <w14:schemeClr w14:val="tx1"/>
            </w14:solidFill>
          </w14:textFill>
        </w:rPr>
      </w:pPr>
      <w:r>
        <w:rPr>
          <w:rFonts w:hint="eastAsia" w:eastAsia="方正小标宋简体"/>
          <w:color w:val="000000" w:themeColor="text1"/>
          <w:sz w:val="44"/>
          <w:szCs w:val="44"/>
          <w:lang w:val="en-US" w:eastAsia="zh-CN"/>
          <w14:textFill>
            <w14:solidFill>
              <w14:schemeClr w14:val="tx1"/>
            </w14:solidFill>
          </w14:textFill>
        </w:rPr>
        <w:t>台儿庄区</w:t>
      </w:r>
      <w:r>
        <w:rPr>
          <w:rFonts w:hint="eastAsia" w:eastAsia="方正小标宋简体"/>
          <w:color w:val="000000" w:themeColor="text1"/>
          <w:sz w:val="44"/>
          <w:szCs w:val="44"/>
          <w14:textFill>
            <w14:solidFill>
              <w14:schemeClr w14:val="tx1"/>
            </w14:solidFill>
          </w14:textFill>
        </w:rPr>
        <w:t>“亩产效益”评价改革部门工作</w:t>
      </w:r>
      <w:r>
        <w:rPr>
          <w:rFonts w:hint="eastAsia" w:eastAsia="方正小标宋简体"/>
          <w:color w:val="000000" w:themeColor="text1"/>
          <w:sz w:val="44"/>
          <w:szCs w:val="44"/>
          <w:lang w:val="en-US" w:eastAsia="zh-CN"/>
          <w14:textFill>
            <w14:solidFill>
              <w14:schemeClr w14:val="tx1"/>
            </w14:solidFill>
          </w14:textFill>
        </w:rPr>
        <w:t>职责</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jc w:val="center"/>
        <w:textAlignment w:val="auto"/>
        <w:rPr>
          <w:rFonts w:hint="eastAsia" w:eastAsia="方正小标宋简体"/>
          <w:color w:val="000000" w:themeColor="text1"/>
          <w:sz w:val="44"/>
          <w:szCs w:val="44"/>
          <w14:textFill>
            <w14:solidFill>
              <w14:schemeClr w14:val="tx1"/>
            </w14:solidFill>
          </w14:textFill>
        </w:rPr>
      </w:pPr>
    </w:p>
    <w:tbl>
      <w:tblPr>
        <w:tblStyle w:val="7"/>
        <w:tblW w:w="14579"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
      <w:tblGrid>
        <w:gridCol w:w="809"/>
        <w:gridCol w:w="1888"/>
        <w:gridCol w:w="11060"/>
        <w:gridCol w:w="822"/>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57" w:hRule="atLeast"/>
          <w:tblHeader/>
          <w:jc w:val="center"/>
        </w:trPr>
        <w:tc>
          <w:tcPr>
            <w:tcW w:w="80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jc w:val="center"/>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序号</w:t>
            </w:r>
          </w:p>
        </w:tc>
        <w:tc>
          <w:tcPr>
            <w:tcW w:w="1888" w:type="dxa"/>
            <w:tcBorders>
              <w:top w:val="single" w:color="000000" w:sz="8" w:space="0"/>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jc w:val="center"/>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部门/镇（街）</w:t>
            </w:r>
          </w:p>
        </w:tc>
        <w:tc>
          <w:tcPr>
            <w:tcW w:w="11060" w:type="dxa"/>
            <w:tcBorders>
              <w:top w:val="single" w:color="000000" w:sz="8" w:space="0"/>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jc w:val="center"/>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工作职责</w:t>
            </w:r>
          </w:p>
        </w:tc>
        <w:tc>
          <w:tcPr>
            <w:tcW w:w="822" w:type="dxa"/>
            <w:tcBorders>
              <w:top w:val="single" w:color="000000" w:sz="8" w:space="0"/>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jc w:val="center"/>
              <w:textAlignment w:val="auto"/>
              <w:rPr>
                <w:rFonts w:hint="eastAsia" w:ascii="黑体" w:hAnsi="黑体" w:eastAsia="黑体" w:cs="黑体"/>
                <w:color w:val="000000" w:themeColor="text1"/>
                <w:sz w:val="28"/>
                <w:szCs w:val="28"/>
                <w:lang w:val="en-US" w:eastAsia="zh-CN"/>
                <w14:textFill>
                  <w14:solidFill>
                    <w14:schemeClr w14:val="tx1"/>
                  </w14:solidFill>
                </w14:textFill>
              </w:rPr>
            </w:pPr>
            <w:r>
              <w:rPr>
                <w:rFonts w:hint="eastAsia" w:ascii="黑体" w:hAnsi="黑体" w:eastAsia="黑体" w:cs="黑体"/>
                <w:color w:val="000000" w:themeColor="text1"/>
                <w:sz w:val="28"/>
                <w:szCs w:val="28"/>
                <w:lang w:val="en-US" w:eastAsia="zh-CN"/>
                <w14:textFill>
                  <w14:solidFill>
                    <w14:schemeClr w14:val="tx1"/>
                  </w14:solidFill>
                </w14:textFill>
              </w:rPr>
              <w:t>备注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890" w:hRule="atLeast"/>
          <w:jc w:val="center"/>
        </w:trPr>
        <w:tc>
          <w:tcPr>
            <w:tcW w:w="80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w:t>
            </w:r>
          </w:p>
        </w:tc>
        <w:tc>
          <w:tcPr>
            <w:tcW w:w="1888"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区工业和信息化</w:t>
            </w:r>
            <w:r>
              <w:rPr>
                <w:rFonts w:hint="eastAsia" w:ascii="仿宋_GB2312" w:hAnsi="仿宋_GB2312" w:eastAsia="仿宋_GB2312" w:cs="仿宋_GB2312"/>
                <w:color w:val="000000" w:themeColor="text1"/>
                <w:sz w:val="28"/>
                <w:szCs w:val="28"/>
                <w14:textFill>
                  <w14:solidFill>
                    <w14:schemeClr w14:val="tx1"/>
                  </w14:solidFill>
                </w14:textFill>
              </w:rPr>
              <w:t>局</w:t>
            </w:r>
          </w:p>
        </w:tc>
        <w:tc>
          <w:tcPr>
            <w:tcW w:w="11060"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提供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制造业单项冠军、“专精特新”企业、创新型中小企业、科技创新平台、瞪羚、独角兽、技术创新示范企业、智能工厂、数字化车间、绿色工厂、获得技改奖补企业等</w:t>
            </w:r>
            <w:r>
              <w:rPr>
                <w:rFonts w:hint="eastAsia" w:ascii="仿宋_GB2312" w:hAnsi="仿宋_GB2312" w:eastAsia="仿宋_GB2312" w:cs="仿宋_GB2312"/>
                <w:color w:val="000000" w:themeColor="text1"/>
                <w:sz w:val="28"/>
                <w:szCs w:val="28"/>
                <w14:textFill>
                  <w14:solidFill>
                    <w14:schemeClr w14:val="tx1"/>
                  </w14:solidFill>
                </w14:textFill>
              </w:rPr>
              <w:t>各类企业名单</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2.提供实际占用土地但没有产出的企业名单（包括已关停企业、超过约定竣工日期18个月以上仍未完工的企业等）；</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负责汇总、计算、分类，提供评价结果</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4.对各镇（街）“亩产效益”评价工作情况进行考核</w:t>
            </w:r>
            <w:r>
              <w:rPr>
                <w:rFonts w:hint="eastAsia" w:ascii="仿宋_GB2312" w:hAnsi="仿宋_GB2312" w:eastAsia="仿宋_GB2312" w:cs="仿宋_GB2312"/>
                <w:color w:val="000000" w:themeColor="text1"/>
                <w:sz w:val="28"/>
                <w:szCs w:val="28"/>
                <w14:textFill>
                  <w14:solidFill>
                    <w14:schemeClr w14:val="tx1"/>
                  </w14:solidFill>
                </w14:textFill>
              </w:rPr>
              <w:t>。</w:t>
            </w:r>
          </w:p>
        </w:tc>
        <w:tc>
          <w:tcPr>
            <w:tcW w:w="822"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jc w:val="center"/>
              <w:textAlignment w:val="auto"/>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7" w:hRule="atLeast"/>
          <w:jc w:val="center"/>
        </w:trPr>
        <w:tc>
          <w:tcPr>
            <w:tcW w:w="80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w:t>
            </w:r>
          </w:p>
        </w:tc>
        <w:tc>
          <w:tcPr>
            <w:tcW w:w="1888"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委组织部</w:t>
            </w:r>
          </w:p>
        </w:tc>
        <w:tc>
          <w:tcPr>
            <w:tcW w:w="11060"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提供评价年度引进高层次人才企业名单</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c>
          <w:tcPr>
            <w:tcW w:w="822"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jc w:val="center"/>
              <w:textAlignment w:val="auto"/>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194" w:hRule="atLeast"/>
          <w:jc w:val="center"/>
        </w:trPr>
        <w:tc>
          <w:tcPr>
            <w:tcW w:w="80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p>
        </w:tc>
        <w:tc>
          <w:tcPr>
            <w:tcW w:w="1888"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区发展改革</w:t>
            </w:r>
            <w:r>
              <w:rPr>
                <w:rFonts w:hint="eastAsia" w:ascii="仿宋_GB2312" w:hAnsi="仿宋_GB2312" w:eastAsia="仿宋_GB2312" w:cs="仿宋_GB2312"/>
                <w:color w:val="000000" w:themeColor="text1"/>
                <w:sz w:val="28"/>
                <w:szCs w:val="28"/>
                <w14:textFill>
                  <w14:solidFill>
                    <w14:schemeClr w14:val="tx1"/>
                  </w14:solidFill>
                </w14:textFill>
              </w:rPr>
              <w:t>局</w:t>
            </w:r>
          </w:p>
        </w:tc>
        <w:tc>
          <w:tcPr>
            <w:tcW w:w="11060"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1.提供科技创新平台企业名单；2.提供评价年度</w:t>
            </w:r>
            <w:r>
              <w:rPr>
                <w:rFonts w:hint="eastAsia" w:ascii="仿宋_GB2312" w:hAnsi="仿宋_GB2312" w:eastAsia="仿宋_GB2312" w:cs="仿宋_GB2312"/>
                <w:color w:val="000000" w:themeColor="text1"/>
                <w:sz w:val="28"/>
                <w:szCs w:val="28"/>
                <w14:textFill>
                  <w14:solidFill>
                    <w14:schemeClr w14:val="tx1"/>
                  </w14:solidFill>
                </w14:textFill>
              </w:rPr>
              <w:t>未完成节能降耗企业名单</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3.提供</w:t>
            </w:r>
            <w:r>
              <w:rPr>
                <w:rFonts w:hint="eastAsia" w:ascii="仿宋_GB2312" w:hAnsi="仿宋_GB2312" w:eastAsia="仿宋_GB2312" w:cs="仿宋_GB2312"/>
                <w:color w:val="000000" w:themeColor="text1"/>
                <w:sz w:val="28"/>
                <w:szCs w:val="28"/>
                <w:highlight w:val="none"/>
                <w14:textFill>
                  <w14:solidFill>
                    <w14:schemeClr w14:val="tx1"/>
                  </w14:solidFill>
                </w14:textFill>
              </w:rPr>
              <w:t>列入政府淘汰计划企业名单</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4.提供列入失信“黑名单”或</w:t>
            </w:r>
            <w:r>
              <w:rPr>
                <w:rFonts w:hint="eastAsia" w:ascii="仿宋_GB2312" w:hAnsi="仿宋_GB2312" w:eastAsia="仿宋_GB2312" w:cs="仿宋_GB2312"/>
                <w:color w:val="000000" w:themeColor="text1"/>
                <w:sz w:val="28"/>
                <w:szCs w:val="28"/>
                <w14:textFill>
                  <w14:solidFill>
                    <w14:schemeClr w14:val="tx1"/>
                  </w14:solidFill>
                </w14:textFill>
              </w:rPr>
              <w:t>存在其他严重失信行为的企业名单；</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制定</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并组织实施</w:t>
            </w:r>
            <w:r>
              <w:rPr>
                <w:rFonts w:hint="eastAsia" w:ascii="仿宋_GB2312" w:hAnsi="仿宋_GB2312" w:eastAsia="仿宋_GB2312" w:cs="仿宋_GB2312"/>
                <w:color w:val="000000" w:themeColor="text1"/>
                <w:sz w:val="28"/>
                <w:szCs w:val="28"/>
                <w14:textFill>
                  <w14:solidFill>
                    <w14:schemeClr w14:val="tx1"/>
                  </w14:solidFill>
                </w14:textFill>
              </w:rPr>
              <w:t>差别化</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价格及用能</w:t>
            </w:r>
            <w:r>
              <w:rPr>
                <w:rFonts w:hint="eastAsia" w:ascii="仿宋_GB2312" w:hAnsi="仿宋_GB2312" w:eastAsia="仿宋_GB2312" w:cs="仿宋_GB2312"/>
                <w:color w:val="000000" w:themeColor="text1"/>
                <w:sz w:val="28"/>
                <w:szCs w:val="28"/>
                <w14:textFill>
                  <w14:solidFill>
                    <w14:schemeClr w14:val="tx1"/>
                  </w14:solidFill>
                </w14:textFill>
              </w:rPr>
              <w:t>政策</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7.牵头</w:t>
            </w:r>
            <w:r>
              <w:rPr>
                <w:rFonts w:hint="eastAsia" w:ascii="仿宋_GB2312" w:hAnsi="仿宋_GB2312" w:eastAsia="仿宋_GB2312" w:cs="仿宋_GB2312"/>
                <w:color w:val="000000" w:themeColor="text1"/>
                <w:sz w:val="28"/>
                <w:szCs w:val="28"/>
                <w:highlight w:val="none"/>
                <w14:textFill>
                  <w14:solidFill>
                    <w14:schemeClr w14:val="tx1"/>
                  </w14:solidFill>
                </w14:textFill>
              </w:rPr>
              <w:t>制定</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并组织实施差别化产能利用政策。</w:t>
            </w:r>
          </w:p>
        </w:tc>
        <w:tc>
          <w:tcPr>
            <w:tcW w:w="822"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jc w:val="center"/>
              <w:textAlignment w:val="auto"/>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27" w:hRule="atLeast"/>
          <w:jc w:val="center"/>
        </w:trPr>
        <w:tc>
          <w:tcPr>
            <w:tcW w:w="80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w:t>
            </w:r>
          </w:p>
        </w:tc>
        <w:tc>
          <w:tcPr>
            <w:tcW w:w="1888"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区科技</w:t>
            </w:r>
            <w:r>
              <w:rPr>
                <w:rFonts w:hint="eastAsia" w:ascii="仿宋_GB2312" w:hAnsi="仿宋_GB2312" w:eastAsia="仿宋_GB2312" w:cs="仿宋_GB2312"/>
                <w:color w:val="000000" w:themeColor="text1"/>
                <w:sz w:val="28"/>
                <w:szCs w:val="28"/>
                <w14:textFill>
                  <w14:solidFill>
                    <w14:schemeClr w14:val="tx1"/>
                  </w14:solidFill>
                </w14:textFill>
              </w:rPr>
              <w:t>局</w:t>
            </w:r>
          </w:p>
        </w:tc>
        <w:tc>
          <w:tcPr>
            <w:tcW w:w="11060"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1.提供科技创新平台企业名单</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2.提供</w:t>
            </w:r>
            <w:r>
              <w:rPr>
                <w:rFonts w:hint="eastAsia" w:ascii="仿宋_GB2312" w:hAnsi="仿宋_GB2312" w:eastAsia="仿宋_GB2312" w:cs="仿宋_GB2312"/>
                <w:color w:val="000000" w:themeColor="text1"/>
                <w:sz w:val="28"/>
                <w:szCs w:val="28"/>
                <w14:textFill>
                  <w14:solidFill>
                    <w14:schemeClr w14:val="tx1"/>
                  </w14:solidFill>
                </w14:textFill>
              </w:rPr>
              <w:t>获省级重大专项或国家重点以上专项的企业</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名单；3.</w:t>
            </w:r>
            <w:r>
              <w:rPr>
                <w:rFonts w:hint="eastAsia" w:ascii="仿宋_GB2312" w:hAnsi="仿宋_GB2312" w:eastAsia="仿宋_GB2312" w:cs="仿宋_GB2312"/>
                <w:color w:val="000000" w:themeColor="text1"/>
                <w:sz w:val="28"/>
                <w:szCs w:val="28"/>
                <w14:textFill>
                  <w14:solidFill>
                    <w14:schemeClr w14:val="tx1"/>
                  </w14:solidFill>
                </w14:textFill>
              </w:rPr>
              <w:t>提供国家高新技术企业名单</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4.提供科技部门认定的科技型企业名单</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c>
          <w:tcPr>
            <w:tcW w:w="822"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jc w:val="center"/>
              <w:textAlignment w:val="auto"/>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31" w:hRule="atLeast"/>
          <w:jc w:val="center"/>
        </w:trPr>
        <w:tc>
          <w:tcPr>
            <w:tcW w:w="80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w:t>
            </w:r>
          </w:p>
        </w:tc>
        <w:tc>
          <w:tcPr>
            <w:tcW w:w="1888"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财政局</w:t>
            </w:r>
          </w:p>
        </w:tc>
        <w:tc>
          <w:tcPr>
            <w:tcW w:w="11060"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both"/>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根据“亩产效益”评价相关工作要求，兑付各类专项扶持资金政策</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c>
          <w:tcPr>
            <w:tcW w:w="822"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jc w:val="center"/>
              <w:textAlignment w:val="auto"/>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765" w:hRule="atLeast"/>
          <w:jc w:val="center"/>
        </w:trPr>
        <w:tc>
          <w:tcPr>
            <w:tcW w:w="80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w:t>
            </w:r>
          </w:p>
        </w:tc>
        <w:tc>
          <w:tcPr>
            <w:tcW w:w="1888"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区人力资源社会保障</w:t>
            </w:r>
            <w:r>
              <w:rPr>
                <w:rFonts w:hint="eastAsia" w:ascii="仿宋_GB2312" w:hAnsi="仿宋_GB2312" w:eastAsia="仿宋_GB2312" w:cs="仿宋_GB2312"/>
                <w:color w:val="000000" w:themeColor="text1"/>
                <w:sz w:val="28"/>
                <w:szCs w:val="28"/>
                <w14:textFill>
                  <w14:solidFill>
                    <w14:schemeClr w14:val="tx1"/>
                  </w14:solidFill>
                </w14:textFill>
              </w:rPr>
              <w:t>局</w:t>
            </w:r>
          </w:p>
        </w:tc>
        <w:tc>
          <w:tcPr>
            <w:tcW w:w="11060"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1.提供科技创新平台企业名单；2.负责提供</w:t>
            </w:r>
            <w:r>
              <w:rPr>
                <w:rFonts w:hint="eastAsia" w:ascii="仿宋_GB2312" w:hAnsi="仿宋_GB2312" w:eastAsia="仿宋_GB2312" w:cs="仿宋_GB2312"/>
                <w:color w:val="000000" w:themeColor="text1"/>
                <w:sz w:val="28"/>
                <w:szCs w:val="28"/>
                <w14:textFill>
                  <w14:solidFill>
                    <w14:schemeClr w14:val="tx1"/>
                  </w14:solidFill>
                </w14:textFill>
              </w:rPr>
              <w:t>劳动关系和谐企业名单</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3.提供</w:t>
            </w:r>
            <w:r>
              <w:rPr>
                <w:rFonts w:hint="eastAsia" w:ascii="仿宋_GB2312" w:hAnsi="仿宋_GB2312" w:eastAsia="仿宋_GB2312" w:cs="仿宋_GB2312"/>
                <w:color w:val="000000" w:themeColor="text1"/>
                <w:sz w:val="28"/>
                <w:szCs w:val="28"/>
                <w14:textFill>
                  <w14:solidFill>
                    <w14:schemeClr w14:val="tx1"/>
                  </w14:solidFill>
                </w14:textFill>
              </w:rPr>
              <w:t>评价年度发生重大劳动保障违法行为的企业名单</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4.审核企业上报的年平均职工人数</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c>
          <w:tcPr>
            <w:tcW w:w="822"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jc w:val="center"/>
              <w:textAlignment w:val="auto"/>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809" w:type="dxa"/>
            <w:tcBorders>
              <w:top w:val="nil"/>
              <w:left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w:t>
            </w:r>
          </w:p>
        </w:tc>
        <w:tc>
          <w:tcPr>
            <w:tcW w:w="1888" w:type="dxa"/>
            <w:tcBorders>
              <w:top w:val="nil"/>
              <w:left w:val="nil"/>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自然资源局</w:t>
            </w:r>
          </w:p>
        </w:tc>
        <w:tc>
          <w:tcPr>
            <w:tcW w:w="11060" w:type="dxa"/>
            <w:tcBorders>
              <w:top w:val="nil"/>
              <w:left w:val="nil"/>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1.审定</w:t>
            </w:r>
            <w:r>
              <w:rPr>
                <w:rFonts w:hint="eastAsia" w:ascii="仿宋_GB2312" w:hAnsi="仿宋_GB2312" w:eastAsia="仿宋_GB2312" w:cs="仿宋_GB2312"/>
                <w:color w:val="000000" w:themeColor="text1"/>
                <w:sz w:val="28"/>
                <w:szCs w:val="28"/>
                <w14:textFill>
                  <w14:solidFill>
                    <w14:schemeClr w14:val="tx1"/>
                  </w14:solidFill>
                </w14:textFill>
              </w:rPr>
              <w:t>企业的用地面积；</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制定</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并组织实施</w:t>
            </w:r>
            <w:r>
              <w:rPr>
                <w:rFonts w:hint="eastAsia" w:ascii="仿宋_GB2312" w:hAnsi="仿宋_GB2312" w:eastAsia="仿宋_GB2312" w:cs="仿宋_GB2312"/>
                <w:color w:val="000000" w:themeColor="text1"/>
                <w:sz w:val="28"/>
                <w:szCs w:val="28"/>
                <w14:textFill>
                  <w14:solidFill>
                    <w14:schemeClr w14:val="tx1"/>
                  </w14:solidFill>
                </w14:textFill>
              </w:rPr>
              <w:t>差别化用地政策</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c>
          <w:tcPr>
            <w:tcW w:w="822" w:type="dxa"/>
            <w:tcBorders>
              <w:top w:val="nil"/>
              <w:left w:val="nil"/>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jc w:val="center"/>
              <w:textAlignment w:val="auto"/>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791" w:hRule="atLeast"/>
          <w:jc w:val="center"/>
        </w:trPr>
        <w:tc>
          <w:tcPr>
            <w:tcW w:w="80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p>
        </w:tc>
        <w:tc>
          <w:tcPr>
            <w:tcW w:w="1888"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应急管理局</w:t>
            </w:r>
          </w:p>
        </w:tc>
        <w:tc>
          <w:tcPr>
            <w:tcW w:w="11060"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提供企业安全生产等级评定数据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；2.提供评价年度因存在安全生产隐患被行政处罚的企业名单；3.提供</w:t>
            </w:r>
            <w:r>
              <w:rPr>
                <w:rFonts w:hint="eastAsia" w:ascii="仿宋_GB2312" w:hAnsi="仿宋_GB2312" w:eastAsia="仿宋_GB2312" w:cs="仿宋_GB2312"/>
                <w:color w:val="000000" w:themeColor="text1"/>
                <w:sz w:val="28"/>
                <w:szCs w:val="28"/>
                <w14:textFill>
                  <w14:solidFill>
                    <w14:schemeClr w14:val="tx1"/>
                  </w14:solidFill>
                </w14:textFill>
              </w:rPr>
              <w:t>发生重大安全生产事故、较大安全生产事故及较大火灾的企业名单</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tc>
        <w:tc>
          <w:tcPr>
            <w:tcW w:w="822"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jc w:val="center"/>
              <w:textAlignment w:val="auto"/>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164" w:hRule="atLeast"/>
          <w:jc w:val="center"/>
        </w:trPr>
        <w:tc>
          <w:tcPr>
            <w:tcW w:w="80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p>
        </w:tc>
        <w:tc>
          <w:tcPr>
            <w:tcW w:w="1888"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市场</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监管</w:t>
            </w:r>
            <w:r>
              <w:rPr>
                <w:rFonts w:hint="eastAsia" w:ascii="仿宋_GB2312" w:hAnsi="仿宋_GB2312" w:eastAsia="仿宋_GB2312" w:cs="仿宋_GB2312"/>
                <w:color w:val="000000" w:themeColor="text1"/>
                <w:sz w:val="28"/>
                <w:szCs w:val="28"/>
                <w14:textFill>
                  <w14:solidFill>
                    <w14:schemeClr w14:val="tx1"/>
                  </w14:solidFill>
                </w14:textFill>
              </w:rPr>
              <w:t>局</w:t>
            </w:r>
          </w:p>
        </w:tc>
        <w:tc>
          <w:tcPr>
            <w:tcW w:w="11060"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提供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近三年企业</w:t>
            </w:r>
            <w:r>
              <w:rPr>
                <w:rFonts w:hint="eastAsia" w:ascii="仿宋_GB2312" w:hAnsi="仿宋_GB2312" w:eastAsia="仿宋_GB2312" w:cs="仿宋_GB2312"/>
                <w:color w:val="000000" w:themeColor="text1"/>
                <w:sz w:val="28"/>
                <w:szCs w:val="28"/>
                <w14:textFill>
                  <w14:solidFill>
                    <w14:schemeClr w14:val="tx1"/>
                  </w14:solidFill>
                </w14:textFill>
              </w:rPr>
              <w:t>发明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专利数目；2.提供</w:t>
            </w:r>
            <w:r>
              <w:rPr>
                <w:rFonts w:hint="eastAsia" w:ascii="仿宋_GB2312" w:hAnsi="仿宋_GB2312" w:eastAsia="仿宋_GB2312" w:cs="仿宋_GB2312"/>
                <w:color w:val="000000" w:themeColor="text1"/>
                <w:sz w:val="28"/>
                <w:szCs w:val="28"/>
                <w14:textFill>
                  <w14:solidFill>
                    <w14:schemeClr w14:val="tx1"/>
                  </w14:solidFill>
                </w14:textFill>
              </w:rPr>
              <w:t>驰名商标</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等品牌</w:t>
            </w:r>
            <w:r>
              <w:rPr>
                <w:rFonts w:hint="eastAsia" w:ascii="仿宋_GB2312" w:hAnsi="仿宋_GB2312" w:eastAsia="仿宋_GB2312" w:cs="仿宋_GB2312"/>
                <w:color w:val="000000" w:themeColor="text1"/>
                <w:sz w:val="28"/>
                <w:szCs w:val="28"/>
                <w14:textFill>
                  <w14:solidFill>
                    <w14:schemeClr w14:val="tx1"/>
                  </w14:solidFill>
                </w14:textFill>
              </w:rPr>
              <w:t>企业名单</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3.提供获</w:t>
            </w:r>
            <w:r>
              <w:rPr>
                <w:rFonts w:hint="eastAsia" w:ascii="仿宋_GB2312" w:hAnsi="仿宋_GB2312" w:eastAsia="仿宋_GB2312" w:cs="仿宋_GB2312"/>
                <w:color w:val="000000" w:themeColor="text1"/>
                <w:sz w:val="28"/>
                <w:szCs w:val="28"/>
                <w14:textFill>
                  <w14:solidFill>
                    <w14:schemeClr w14:val="tx1"/>
                  </w14:solidFill>
                </w14:textFill>
              </w:rPr>
              <w:t>质量奖</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企业名单；4.提供</w:t>
            </w:r>
            <w:r>
              <w:rPr>
                <w:rFonts w:hint="eastAsia" w:ascii="仿宋_GB2312" w:hAnsi="仿宋_GB2312" w:eastAsia="仿宋_GB2312" w:cs="仿宋_GB2312"/>
                <w:color w:val="000000" w:themeColor="text1"/>
                <w:sz w:val="28"/>
                <w:szCs w:val="28"/>
                <w14:textFill>
                  <w14:solidFill>
                    <w14:schemeClr w14:val="tx1"/>
                  </w14:solidFill>
                </w14:textFill>
              </w:rPr>
              <w:t>参与制订国际（国内）标准认定名单</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5.提供评价年度</w:t>
            </w:r>
            <w:r>
              <w:rPr>
                <w:rFonts w:hint="eastAsia" w:ascii="仿宋_GB2312" w:hAnsi="仿宋_GB2312" w:eastAsia="仿宋_GB2312" w:cs="仿宋_GB2312"/>
                <w:color w:val="000000" w:themeColor="text1"/>
                <w:sz w:val="28"/>
                <w:szCs w:val="28"/>
                <w:lang w:eastAsia="zh-CN"/>
                <w14:textFill>
                  <w14:solidFill>
                    <w14:schemeClr w14:val="tx1"/>
                  </w14:solidFill>
                </w14:textFill>
              </w:rPr>
              <w:t>因产品质量等问题被立案查处的</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企业名单。</w:t>
            </w:r>
          </w:p>
        </w:tc>
        <w:tc>
          <w:tcPr>
            <w:tcW w:w="822"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jc w:val="center"/>
              <w:textAlignment w:val="auto"/>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25" w:hRule="atLeast"/>
          <w:jc w:val="center"/>
        </w:trPr>
        <w:tc>
          <w:tcPr>
            <w:tcW w:w="80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10</w:t>
            </w:r>
          </w:p>
        </w:tc>
        <w:tc>
          <w:tcPr>
            <w:tcW w:w="1888"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区审批服务局</w:t>
            </w:r>
          </w:p>
        </w:tc>
        <w:tc>
          <w:tcPr>
            <w:tcW w:w="11060"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1.提供规模以下工业企业名单、统一社会信用代码、统计用区划代码、所属行业分类代码（精确到中类）。</w:t>
            </w:r>
          </w:p>
        </w:tc>
        <w:tc>
          <w:tcPr>
            <w:tcW w:w="822"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jc w:val="center"/>
              <w:textAlignment w:val="auto"/>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846" w:hRule="atLeast"/>
          <w:jc w:val="center"/>
        </w:trPr>
        <w:tc>
          <w:tcPr>
            <w:tcW w:w="80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w:t>
            </w:r>
          </w:p>
        </w:tc>
        <w:tc>
          <w:tcPr>
            <w:tcW w:w="1888"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统计局</w:t>
            </w:r>
          </w:p>
        </w:tc>
        <w:tc>
          <w:tcPr>
            <w:tcW w:w="11060"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提供全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规模以上工业企业名单、</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统一社会信用代码、统计用区划代码、所属行业分类代码（精确到中类</w:t>
            </w:r>
            <w:r>
              <w:rPr>
                <w:rFonts w:hint="eastAsia" w:ascii="仿宋_GB2312" w:hAnsi="仿宋_GB2312" w:eastAsia="仿宋_GB2312" w:cs="仿宋_GB2312"/>
                <w:color w:val="000000" w:themeColor="text1"/>
                <w:sz w:val="28"/>
                <w:szCs w:val="28"/>
                <w14:textFill>
                  <w14:solidFill>
                    <w14:schemeClr w14:val="tx1"/>
                  </w14:solidFill>
                </w14:textFill>
              </w:rPr>
              <w:t>）等基础性统计资料</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；2.配合做好相关数据审核工作。</w:t>
            </w:r>
          </w:p>
        </w:tc>
        <w:tc>
          <w:tcPr>
            <w:tcW w:w="822"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jc w:val="center"/>
              <w:textAlignment w:val="auto"/>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58" w:hRule="atLeast"/>
          <w:jc w:val="center"/>
        </w:trPr>
        <w:tc>
          <w:tcPr>
            <w:tcW w:w="80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p>
        </w:tc>
        <w:tc>
          <w:tcPr>
            <w:tcW w:w="1888"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区法院</w:t>
            </w:r>
          </w:p>
        </w:tc>
        <w:tc>
          <w:tcPr>
            <w:tcW w:w="11060"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提供被列入失信被执行人、“黑名单”等企业信息。</w:t>
            </w:r>
          </w:p>
        </w:tc>
        <w:tc>
          <w:tcPr>
            <w:tcW w:w="822"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jc w:val="center"/>
              <w:textAlignment w:val="auto"/>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80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p>
        </w:tc>
        <w:tc>
          <w:tcPr>
            <w:tcW w:w="1888"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区生态环境分局</w:t>
            </w:r>
          </w:p>
        </w:tc>
        <w:tc>
          <w:tcPr>
            <w:tcW w:w="11060"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提供企业</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主要污染物排放量；2.提供</w:t>
            </w:r>
            <w:r>
              <w:rPr>
                <w:rFonts w:hint="eastAsia" w:ascii="仿宋_GB2312" w:hAnsi="仿宋_GB2312" w:eastAsia="仿宋_GB2312" w:cs="仿宋_GB2312"/>
                <w:color w:val="000000" w:themeColor="text1"/>
                <w:sz w:val="28"/>
                <w:szCs w:val="28"/>
                <w14:textFill>
                  <w14:solidFill>
                    <w14:schemeClr w14:val="tx1"/>
                  </w14:solidFill>
                </w14:textFill>
              </w:rPr>
              <w:t>评价年度发生重大环境责任事故</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较大环境责任事故企业名单</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3.负责制定并组织实施差别化排放政策。</w:t>
            </w:r>
          </w:p>
        </w:tc>
        <w:tc>
          <w:tcPr>
            <w:tcW w:w="822"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jc w:val="center"/>
              <w:textAlignment w:val="auto"/>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710" w:hRule="atLeast"/>
          <w:jc w:val="center"/>
        </w:trPr>
        <w:tc>
          <w:tcPr>
            <w:tcW w:w="80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p>
        </w:tc>
        <w:tc>
          <w:tcPr>
            <w:tcW w:w="1888"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区人民银行</w:t>
            </w:r>
          </w:p>
        </w:tc>
        <w:tc>
          <w:tcPr>
            <w:tcW w:w="11060"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1.制定并组织实施差别化信贷政策。</w:t>
            </w:r>
          </w:p>
        </w:tc>
        <w:tc>
          <w:tcPr>
            <w:tcW w:w="822"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jc w:val="center"/>
              <w:textAlignment w:val="auto"/>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163" w:hRule="atLeast"/>
          <w:jc w:val="center"/>
        </w:trPr>
        <w:tc>
          <w:tcPr>
            <w:tcW w:w="80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p>
        </w:tc>
        <w:tc>
          <w:tcPr>
            <w:tcW w:w="1888"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区金融服务中心</w:t>
            </w:r>
          </w:p>
        </w:tc>
        <w:tc>
          <w:tcPr>
            <w:tcW w:w="11060"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1.会同区人民银行制定并组织实施差别化信贷政策；2.提供上市企业名单；3.提供完成规范化公司制改制的企业名单；4.提供列入上市、新三板挂牌企业后备库并进入挂牌程序的企业名单。</w:t>
            </w:r>
          </w:p>
        </w:tc>
        <w:tc>
          <w:tcPr>
            <w:tcW w:w="822" w:type="dxa"/>
            <w:tcBorders>
              <w:top w:val="nil"/>
              <w:left w:val="nil"/>
              <w:bottom w:val="single" w:color="000000" w:sz="8"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jc w:val="center"/>
              <w:textAlignment w:val="auto"/>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97" w:hRule="atLeast"/>
          <w:jc w:val="center"/>
        </w:trPr>
        <w:tc>
          <w:tcPr>
            <w:tcW w:w="809" w:type="dxa"/>
            <w:tcBorders>
              <w:top w:val="nil"/>
              <w:left w:val="single" w:color="000000" w:sz="8" w:space="0"/>
              <w:bottom w:val="single" w:color="auto" w:sz="4"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16</w:t>
            </w:r>
          </w:p>
        </w:tc>
        <w:tc>
          <w:tcPr>
            <w:tcW w:w="1888" w:type="dxa"/>
            <w:tcBorders>
              <w:top w:val="nil"/>
              <w:left w:val="nil"/>
              <w:bottom w:val="single" w:color="auto" w:sz="4"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区</w:t>
            </w:r>
            <w:r>
              <w:rPr>
                <w:rFonts w:hint="eastAsia" w:ascii="仿宋_GB2312" w:hAnsi="仿宋_GB2312" w:eastAsia="仿宋_GB2312" w:cs="仿宋_GB2312"/>
                <w:color w:val="000000" w:themeColor="text1"/>
                <w:sz w:val="28"/>
                <w:szCs w:val="28"/>
                <w14:textFill>
                  <w14:solidFill>
                    <w14:schemeClr w14:val="tx1"/>
                  </w14:solidFill>
                </w14:textFill>
              </w:rPr>
              <w:t>税务局</w:t>
            </w:r>
          </w:p>
        </w:tc>
        <w:tc>
          <w:tcPr>
            <w:tcW w:w="11060" w:type="dxa"/>
            <w:tcBorders>
              <w:top w:val="nil"/>
              <w:left w:val="nil"/>
              <w:bottom w:val="single" w:color="auto" w:sz="4"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提供</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企业评价年度</w:t>
            </w:r>
            <w:r>
              <w:rPr>
                <w:rFonts w:hint="eastAsia" w:ascii="仿宋_GB2312" w:hAnsi="仿宋_GB2312" w:eastAsia="仿宋_GB2312" w:cs="仿宋_GB2312"/>
                <w:color w:val="000000" w:themeColor="text1"/>
                <w:sz w:val="28"/>
                <w:szCs w:val="28"/>
                <w14:textFill>
                  <w14:solidFill>
                    <w14:schemeClr w14:val="tx1"/>
                  </w14:solidFill>
                </w14:textFill>
              </w:rPr>
              <w:t>（评价年度自1月1日至12月31日止）</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税收实际贡献、销售收入、企业购买能源总量（用于测算企业总能耗），研发经费支出等数据；2.提供纳税信用评价名单；3.提供列入税收失信行为的企业名单；4.配合筛选提供规模以下工业企业名单、统一社会信用代码、统计用区划代码、所属行业分类代码（精确到中类）；5.执行城镇土地使用税差别化减免政策</w:t>
            </w:r>
            <w:r>
              <w:rPr>
                <w:rFonts w:hint="eastAsia" w:ascii="仿宋_GB2312" w:hAnsi="仿宋_GB2312" w:eastAsia="仿宋_GB2312" w:cs="仿宋_GB2312"/>
                <w:color w:val="000000" w:themeColor="text1"/>
                <w:sz w:val="28"/>
                <w:szCs w:val="28"/>
                <w14:textFill>
                  <w14:solidFill>
                    <w14:schemeClr w14:val="tx1"/>
                  </w14:solidFill>
                </w14:textFill>
              </w:rPr>
              <w:t>。</w:t>
            </w:r>
          </w:p>
        </w:tc>
        <w:tc>
          <w:tcPr>
            <w:tcW w:w="822" w:type="dxa"/>
            <w:tcBorders>
              <w:top w:val="nil"/>
              <w:left w:val="nil"/>
              <w:bottom w:val="single" w:color="auto" w:sz="4" w:space="0"/>
              <w:right w:val="single" w:color="000000" w:sz="8"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jc w:val="center"/>
              <w:textAlignment w:val="auto"/>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715" w:hRule="atLeast"/>
          <w:jc w:val="center"/>
        </w:trPr>
        <w:tc>
          <w:tcPr>
            <w:tcW w:w="8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17</w:t>
            </w:r>
          </w:p>
        </w:tc>
        <w:tc>
          <w:tcPr>
            <w:tcW w:w="188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区城乡水务局</w:t>
            </w:r>
          </w:p>
        </w:tc>
        <w:tc>
          <w:tcPr>
            <w:tcW w:w="1106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eastAsia" w:ascii="仿宋_GB2312" w:hAnsi="仿宋_GB2312" w:eastAsia="仿宋_GB2312" w:cs="仿宋_GB2312"/>
                <w:color w:val="000000" w:themeColor="text1"/>
                <w:kern w:val="0"/>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1.配合区发展改革局实施差异化水价政策。</w:t>
            </w:r>
          </w:p>
        </w:tc>
        <w:tc>
          <w:tcPr>
            <w:tcW w:w="82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jc w:val="center"/>
              <w:textAlignment w:val="auto"/>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18</w:t>
            </w:r>
          </w:p>
        </w:tc>
        <w:tc>
          <w:tcPr>
            <w:tcW w:w="188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区供电中心</w:t>
            </w:r>
          </w:p>
        </w:tc>
        <w:tc>
          <w:tcPr>
            <w:tcW w:w="1106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1.配合区发展改革局实施差异化电价政策。</w:t>
            </w:r>
          </w:p>
        </w:tc>
        <w:tc>
          <w:tcPr>
            <w:tcW w:w="82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jc w:val="center"/>
              <w:textAlignment w:val="auto"/>
              <w:rPr>
                <w:color w:val="000000" w:themeColor="text1"/>
                <w14:textFill>
                  <w14:solidFill>
                    <w14:schemeClr w14:val="tx1"/>
                  </w14:solidFill>
                </w14:textFill>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239" w:hRule="atLeast"/>
          <w:jc w:val="center"/>
        </w:trPr>
        <w:tc>
          <w:tcPr>
            <w:tcW w:w="80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19</w:t>
            </w:r>
          </w:p>
        </w:tc>
        <w:tc>
          <w:tcPr>
            <w:tcW w:w="188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各镇</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街</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jc w:val="center"/>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经济开发区</w:t>
            </w:r>
          </w:p>
        </w:tc>
        <w:tc>
          <w:tcPr>
            <w:tcW w:w="1106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tLeast"/>
              <w:ind w:left="0" w:leftChars="0" w:right="0" w:rightChars="0"/>
              <w:textAlignment w:val="auto"/>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确定辖区内参评工业企业名单；2.组织企业填报实际占地面积、年平均职工人数、总能耗、产值等数据；3.组织企业做好各项评价数据核对工作；4.告知企业评价结果；5.配合各有关部门做好各项差异化政策的落实。</w:t>
            </w:r>
          </w:p>
        </w:tc>
        <w:tc>
          <w:tcPr>
            <w:tcW w:w="82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jc w:val="center"/>
              <w:textAlignment w:val="auto"/>
              <w:rPr>
                <w:color w:val="000000" w:themeColor="text1"/>
                <w14:textFill>
                  <w14:solidFill>
                    <w14:schemeClr w14:val="tx1"/>
                  </w14:solidFill>
                </w14:textFill>
              </w:rPr>
            </w:pPr>
          </w:p>
        </w:tc>
      </w:tr>
    </w:tbl>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400" w:lineRule="exact"/>
        <w:ind w:left="0" w:leftChars="0" w:right="0" w:firstLine="560" w:firstLineChars="200"/>
        <w:textAlignment w:val="auto"/>
        <w:rPr>
          <w:rFonts w:hint="eastAsia" w:ascii="楷体_GB2312" w:hAnsi="楷体_GB2312" w:eastAsia="楷体_GB2312" w:cs="楷体_GB2312"/>
          <w:color w:val="000000" w:themeColor="text1"/>
          <w:sz w:val="28"/>
          <w:szCs w:val="28"/>
          <w14:textFill>
            <w14:solidFill>
              <w14:schemeClr w14:val="tx1"/>
            </w14:solidFill>
          </w14:textFill>
        </w:rPr>
      </w:pPr>
      <w:r>
        <w:rPr>
          <w:rFonts w:hint="eastAsia" w:ascii="楷体_GB2312" w:hAnsi="楷体_GB2312" w:eastAsia="楷体_GB2312" w:cs="楷体_GB2312"/>
          <w:color w:val="000000" w:themeColor="text1"/>
          <w:sz w:val="28"/>
          <w:szCs w:val="28"/>
          <w14:textFill>
            <w14:solidFill>
              <w14:schemeClr w14:val="tx1"/>
            </w14:solidFill>
          </w14:textFill>
        </w:rPr>
        <w:t>注：表格中未提及的评价指标所需事项，在</w:t>
      </w:r>
      <w:r>
        <w:rPr>
          <w:rFonts w:hint="eastAsia" w:ascii="楷体_GB2312" w:hAnsi="楷体_GB2312" w:eastAsia="楷体_GB2312" w:cs="楷体_GB2312"/>
          <w:color w:val="000000" w:themeColor="text1"/>
          <w:sz w:val="28"/>
          <w:szCs w:val="28"/>
          <w:lang w:val="en-US" w:eastAsia="zh-CN"/>
          <w14:textFill>
            <w14:solidFill>
              <w14:schemeClr w14:val="tx1"/>
            </w14:solidFill>
          </w14:textFill>
        </w:rPr>
        <w:t>区</w:t>
      </w:r>
      <w:r>
        <w:rPr>
          <w:rFonts w:hint="eastAsia" w:ascii="楷体_GB2312" w:hAnsi="楷体_GB2312" w:eastAsia="楷体_GB2312" w:cs="楷体_GB2312"/>
          <w:color w:val="000000" w:themeColor="text1"/>
          <w:sz w:val="28"/>
          <w:szCs w:val="28"/>
          <w14:textFill>
            <w14:solidFill>
              <w14:schemeClr w14:val="tx1"/>
            </w14:solidFill>
          </w14:textFill>
        </w:rPr>
        <w:t>“亩产效益”评价改革工作领导小组办公室调度安排下，按照“谁主管、谁统计、谁负责”的原则，由各主管部门负责提供数据。</w:t>
      </w:r>
    </w:p>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firstLine="560" w:firstLineChars="200"/>
        <w:textAlignment w:val="auto"/>
        <w:rPr>
          <w:rFonts w:hint="eastAsia" w:ascii="楷体_GB2312" w:hAnsi="楷体_GB2312" w:eastAsia="楷体_GB2312" w:cs="楷体_GB2312"/>
          <w:color w:val="000000" w:themeColor="text1"/>
          <w:sz w:val="28"/>
          <w:szCs w:val="28"/>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val="0"/>
        <w:snapToGrid/>
        <w:spacing w:before="0" w:beforeAutospacing="0" w:after="0" w:afterAutospacing="0" w:line="560" w:lineRule="exact"/>
        <w:ind w:left="0" w:leftChars="0" w:right="0" w:firstLine="560" w:firstLineChars="200"/>
        <w:textAlignment w:val="auto"/>
        <w:rPr>
          <w:rFonts w:hint="eastAsia" w:ascii="楷体_GB2312" w:hAnsi="楷体_GB2312" w:eastAsia="楷体_GB2312" w:cs="楷体_GB2312"/>
          <w:color w:val="000000" w:themeColor="text1"/>
          <w:sz w:val="28"/>
          <w:szCs w:val="28"/>
          <w14:textFill>
            <w14:solidFill>
              <w14:schemeClr w14:val="tx1"/>
            </w14:solidFill>
          </w14:textFill>
        </w:rPr>
        <w:sectPr>
          <w:pgSz w:w="16838" w:h="11906" w:orient="landscape"/>
          <w:pgMar w:top="1701" w:right="1587" w:bottom="1701" w:left="1587" w:header="851" w:footer="1134" w:gutter="0"/>
          <w:pgNumType w:fmt="numberInDash"/>
          <w:cols w:space="720" w:num="1"/>
          <w:rtlGutter w:val="0"/>
          <w:docGrid w:type="lines" w:linePitch="319" w:charSpace="0"/>
        </w:sectPr>
      </w:pP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60" w:lineRule="exact"/>
        <w:ind w:left="0" w:leftChars="0" w:right="0"/>
        <w:textAlignment w:val="auto"/>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2"/>
          <w:sz w:val="32"/>
          <w:szCs w:val="32"/>
          <w:lang w:val="en-US" w:eastAsia="zh-CN" w:bidi="ar-SA"/>
          <w14:textFill>
            <w14:solidFill>
              <w14:schemeClr w14:val="tx1"/>
            </w14:solidFill>
          </w14:textFill>
        </w:rPr>
        <w:t>附件3</w:t>
      </w:r>
    </w:p>
    <w:p>
      <w:pPr>
        <w:pStyle w:val="6"/>
        <w:keepNext w:val="0"/>
        <w:keepLines w:val="0"/>
        <w:pageBreakBefore w:val="0"/>
        <w:widowControl w:val="0"/>
        <w:kinsoku/>
        <w:wordWrap/>
        <w:overflowPunct/>
        <w:topLinePunct w:val="0"/>
        <w:autoSpaceDE/>
        <w:autoSpaceDN/>
        <w:bidi w:val="0"/>
        <w:adjustRightInd w:val="0"/>
        <w:spacing w:before="0" w:beforeAutospacing="0" w:after="0" w:afterAutospacing="0" w:line="560" w:lineRule="exact"/>
        <w:ind w:left="0" w:leftChars="0" w:right="0"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spacing w:line="560" w:lineRule="exact"/>
        <w:ind w:left="0" w:leftChars="0" w:right="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主要指标解释及数据来源</w:t>
      </w:r>
    </w:p>
    <w:p>
      <w:pPr>
        <w:pStyle w:val="6"/>
        <w:keepNext w:val="0"/>
        <w:keepLines w:val="0"/>
        <w:pageBreakBefore w:val="0"/>
        <w:widowControl w:val="0"/>
        <w:kinsoku/>
        <w:wordWrap/>
        <w:overflowPunct/>
        <w:topLinePunct w:val="0"/>
        <w:autoSpaceDE/>
        <w:autoSpaceDN/>
        <w:bidi w:val="0"/>
        <w:adjustRightInd w:val="0"/>
        <w:spacing w:before="0" w:beforeAutospacing="0" w:after="0" w:afterAutospacing="0" w:line="560" w:lineRule="exact"/>
        <w:ind w:left="0" w:leftChars="0" w:right="0"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规模以上工业企业名单、统一社会信用代码、所在区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统计用区划代码、所属行业分类代码（精确到中类）由统计部门提供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规模以下工业企业名单、统一社会信用代码、所在区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统计用区划代码、所属行业分类代码（精确到中类）由统计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税务、市场监管等部门通过企业销售收入和纳税、市场主体登记、行业分类等有关信息筛选确定。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税收贡献指企业（独立纳税企业）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评价年度</w:t>
      </w:r>
      <w:r>
        <w:rPr>
          <w:rFonts w:hint="eastAsia" w:ascii="仿宋_GB2312" w:hAnsi="仿宋_GB2312" w:eastAsia="仿宋_GB2312" w:cs="仿宋_GB2312"/>
          <w:color w:val="000000" w:themeColor="text1"/>
          <w:sz w:val="32"/>
          <w:szCs w:val="32"/>
          <w14:textFill>
            <w14:solidFill>
              <w14:schemeClr w14:val="tx1"/>
            </w14:solidFill>
          </w14:textFill>
        </w:rPr>
        <w:t>（不含查补以前年度税款)税收合计数额，具体包括：增值税、消费税、企业所得税、个人所得税、资源税、城市维护建设税、房产税、印花税、城镇土地使用税、土地增值税、车船税、车辆购置税、耕地占用税、契税、环境保护税、烟叶税等税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所有税收指标数据只要入库数据，不包括以下退税数据：出口退税、免抵调减、增值税留抵退税、成品油消费税退税、个人所得税退税手续费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数据由税务部门提供。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用地面积指企业实际占用土地面积，包括企业通过政府供应，土地二级市场获得使用权的土地，通过租赁方式实际占用的土地以及其他实际占用的土地等。企业经批准的项目新增土地面积在2年建设期、1年过渡期内可不计入用地面积。由自然资源部门以工业用地绩效调查数据为基础，会同工信、镇（街)有关部门调查核实并提供企业实际用地数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销售收入指企业在税务部门申报的所属期为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评价年度</w:t>
      </w:r>
      <w:r>
        <w:rPr>
          <w:rFonts w:hint="eastAsia" w:ascii="仿宋_GB2312" w:hAnsi="仿宋_GB2312" w:eastAsia="仿宋_GB2312" w:cs="仿宋_GB2312"/>
          <w:color w:val="000000" w:themeColor="text1"/>
          <w:sz w:val="32"/>
          <w:szCs w:val="32"/>
          <w14:textFill>
            <w14:solidFill>
              <w14:schemeClr w14:val="tx1"/>
            </w14:solidFill>
          </w14:textFill>
        </w:rPr>
        <w:t>全年累计实现的增值税销售额，包括：一般纳税人的按适用税率计税销售额、按简易征收办法计税销售额、免、抵、退办法出口销售额、免税销售额；小规模纳税人的应征增值税销售额、销售使用过的应税固定资产销售额、免税销售额、出口免税销售额或者核定销售额</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数据由税务部门提供。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主要污染物排放量指企业化学需氧量、氨氮、氮氧化物、挥发性有机物4项污染物的排放量之和，由生态环境部门按照以下优先顺序确定排污单位排放量：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(1)有污染物排放的，由生态环境部门按照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评价年度</w:t>
      </w:r>
      <w:r>
        <w:rPr>
          <w:rFonts w:hint="eastAsia" w:ascii="仿宋_GB2312" w:hAnsi="仿宋_GB2312" w:eastAsia="仿宋_GB2312" w:cs="仿宋_GB2312"/>
          <w:color w:val="000000" w:themeColor="text1"/>
          <w:sz w:val="32"/>
          <w:szCs w:val="32"/>
          <w14:textFill>
            <w14:solidFill>
              <w14:schemeClr w14:val="tx1"/>
            </w14:solidFill>
          </w14:textFill>
        </w:rPr>
        <w:t>生态环境统计数据提供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(2)未纳入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评价年度</w:t>
      </w:r>
      <w:r>
        <w:rPr>
          <w:rFonts w:hint="eastAsia" w:ascii="仿宋_GB2312" w:hAnsi="仿宋_GB2312" w:eastAsia="仿宋_GB2312" w:cs="仿宋_GB2312"/>
          <w:color w:val="000000" w:themeColor="text1"/>
          <w:sz w:val="32"/>
          <w:szCs w:val="32"/>
          <w14:textFill>
            <w14:solidFill>
              <w14:schemeClr w14:val="tx1"/>
            </w14:solidFill>
          </w14:textFill>
        </w:rPr>
        <w:t>生态环境统计的排污单位，由生态环境部门提供排污许可证执行报告数据。其他情形的，由排污单位依据《生态环境部财政部税务总局关于发布计算环境保护税应税污染物排放量的排污系数和物料衡算方法的公告》（生态环境部财政部税务总局公告2021年第16号）进行测算，生态环境部门审核后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(3)仅排放生活污水且全部排入城镇污水处理厂的，可不计算水污染物排放量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工业总产值（现价）指以货币表现的工业企业在报告期内生产的工业产品总量，可采用企业填报、相关部门核准的方式采集。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总能耗指企业生产和非生产活动消耗的能源总量，主要包括煤、电、气消耗，鼓励根据企业用于增值税进项税额抵扣的专用发票注明的购买数量，按相应系数折算成标准煤核算消耗总量，也可用企业填报，相关部门核准的方式采集，确保数据真实准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研究开发经费指报告期内企业用于研究开发活动的费用合计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由税务部门提供。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年平均职工人数为企业各月平均职工人数之和除以12，包括企业实际在岗的全部人员数，可通过企业填报、相关部门核准的方式确定</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sectPr>
      <w:footerReference r:id="rId4" w:type="default"/>
      <w:footerReference r:id="rId5" w:type="even"/>
      <w:pgSz w:w="11906" w:h="16838"/>
      <w:pgMar w:top="1984" w:right="1587" w:bottom="1928" w:left="1587" w:header="851" w:footer="1134"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altName w:val="宋体"/>
    <w:panose1 w:val="00000000000000000000"/>
    <w:charset w:val="86"/>
    <w:family w:val="script"/>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Style w:val="10"/>
                              <w:rFonts w:hint="eastAsia" w:ascii="宋体" w:hAnsi="宋体" w:eastAsiaTheme="minorEastAsia"/>
                              <w:sz w:val="24"/>
                              <w:lang w:eastAsia="zh-CN"/>
                            </w:rPr>
                          </w:pPr>
                          <w:r>
                            <w:rPr>
                              <w:rStyle w:val="10"/>
                              <w:rFonts w:hint="eastAsia" w:ascii="宋体" w:hAnsi="宋体"/>
                              <w:sz w:val="24"/>
                              <w:lang w:eastAsia="zh-CN"/>
                            </w:rPr>
                            <w:fldChar w:fldCharType="begin"/>
                          </w:r>
                          <w:r>
                            <w:rPr>
                              <w:rStyle w:val="10"/>
                              <w:rFonts w:hint="eastAsia" w:ascii="宋体" w:hAnsi="宋体"/>
                              <w:sz w:val="24"/>
                              <w:lang w:eastAsia="zh-CN"/>
                            </w:rPr>
                            <w:instrText xml:space="preserve"> PAGE  \* MERGEFORMAT </w:instrText>
                          </w:r>
                          <w:r>
                            <w:rPr>
                              <w:rStyle w:val="10"/>
                              <w:rFonts w:hint="eastAsia" w:ascii="宋体" w:hAnsi="宋体"/>
                              <w:sz w:val="24"/>
                              <w:lang w:eastAsia="zh-CN"/>
                            </w:rPr>
                            <w:fldChar w:fldCharType="separate"/>
                          </w:r>
                          <w:r>
                            <w:rPr>
                              <w:rStyle w:val="10"/>
                              <w:rFonts w:hint="eastAsia" w:ascii="宋体" w:hAnsi="宋体"/>
                              <w:sz w:val="24"/>
                              <w:lang w:eastAsia="zh-CN"/>
                            </w:rPr>
                            <w:t>- 20 -</w:t>
                          </w:r>
                          <w:r>
                            <w:rPr>
                              <w:rStyle w:val="10"/>
                              <w:rFonts w:hint="eastAsia" w:ascii="宋体" w:hAnsi="宋体"/>
                              <w:sz w:val="24"/>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7KbcBAABU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6TKsnT+1Bj1r3HvDh8d0NKHf0BnYn1IMGkL/Ih&#10;GEehd0dxxRAJT4/m1XxeYohjbLogTvH63EOIN8IZkoyGAk4vi8q2P0M8pE4pqZp110pr9LNaW9I3&#10;9OK8Os8PjhEE1xZrJBKHZpMVh9UwMli5dofEetyAhlpcUUr0D4sCp2WZDJiM1WRsPKh1l7cplQ/+&#10;2yZiN7nJVOEAOxbG0WWa45ql3Xh7z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ubsptwEAAFQDAAAOAAAAAAAAAAEAIAAAAB4BAABkcnMvZTJvRG9jLnhtbFBLBQYAAAAABgAGAFkB&#10;AABHBQAAAAA=&#10;">
              <v:fill on="f" focussize="0,0"/>
              <v:stroke on="f"/>
              <v:imagedata o:title=""/>
              <o:lock v:ext="edit" aspectratio="f"/>
              <v:textbox inset="0mm,0mm,0mm,0mm" style="mso-fit-shape-to-text:t;">
                <w:txbxContent>
                  <w:p>
                    <w:pPr>
                      <w:pStyle w:val="4"/>
                      <w:rPr>
                        <w:rStyle w:val="10"/>
                        <w:rFonts w:hint="eastAsia" w:ascii="宋体" w:hAnsi="宋体" w:eastAsiaTheme="minorEastAsia"/>
                        <w:sz w:val="24"/>
                        <w:lang w:eastAsia="zh-CN"/>
                      </w:rPr>
                    </w:pPr>
                    <w:r>
                      <w:rPr>
                        <w:rStyle w:val="10"/>
                        <w:rFonts w:hint="eastAsia" w:ascii="宋体" w:hAnsi="宋体"/>
                        <w:sz w:val="24"/>
                        <w:lang w:eastAsia="zh-CN"/>
                      </w:rPr>
                      <w:fldChar w:fldCharType="begin"/>
                    </w:r>
                    <w:r>
                      <w:rPr>
                        <w:rStyle w:val="10"/>
                        <w:rFonts w:hint="eastAsia" w:ascii="宋体" w:hAnsi="宋体"/>
                        <w:sz w:val="24"/>
                        <w:lang w:eastAsia="zh-CN"/>
                      </w:rPr>
                      <w:instrText xml:space="preserve"> PAGE  \* MERGEFORMAT </w:instrText>
                    </w:r>
                    <w:r>
                      <w:rPr>
                        <w:rStyle w:val="10"/>
                        <w:rFonts w:hint="eastAsia" w:ascii="宋体" w:hAnsi="宋体"/>
                        <w:sz w:val="24"/>
                        <w:lang w:eastAsia="zh-CN"/>
                      </w:rPr>
                      <w:fldChar w:fldCharType="separate"/>
                    </w:r>
                    <w:r>
                      <w:rPr>
                        <w:rStyle w:val="10"/>
                        <w:rFonts w:hint="eastAsia" w:ascii="宋体" w:hAnsi="宋体"/>
                        <w:sz w:val="24"/>
                        <w:lang w:eastAsia="zh-CN"/>
                      </w:rPr>
                      <w:t>- 20 -</w:t>
                    </w:r>
                    <w:r>
                      <w:rPr>
                        <w:rStyle w:val="10"/>
                        <w:rFonts w:hint="eastAsia" w:ascii="宋体" w:hAnsi="宋体"/>
                        <w:sz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YjQ4MDliNGE3ZjY2YmRmYTk0YWFmNzM3MjlhMmIifQ=="/>
  </w:docVars>
  <w:rsids>
    <w:rsidRoot w:val="00172A27"/>
    <w:rsid w:val="00E52FC4"/>
    <w:rsid w:val="01537ABC"/>
    <w:rsid w:val="01A87E79"/>
    <w:rsid w:val="01AB4C9B"/>
    <w:rsid w:val="01AE1428"/>
    <w:rsid w:val="02797D66"/>
    <w:rsid w:val="02AD1127"/>
    <w:rsid w:val="038305DA"/>
    <w:rsid w:val="045F19F8"/>
    <w:rsid w:val="05942E71"/>
    <w:rsid w:val="05983D6A"/>
    <w:rsid w:val="06252291"/>
    <w:rsid w:val="067C4F21"/>
    <w:rsid w:val="080F4B40"/>
    <w:rsid w:val="08655D74"/>
    <w:rsid w:val="08F455F2"/>
    <w:rsid w:val="0B446C7B"/>
    <w:rsid w:val="0BD60207"/>
    <w:rsid w:val="0BFA7436"/>
    <w:rsid w:val="0C91568D"/>
    <w:rsid w:val="0CCE0DFB"/>
    <w:rsid w:val="0D541A22"/>
    <w:rsid w:val="0D5613EC"/>
    <w:rsid w:val="0E730D8C"/>
    <w:rsid w:val="121A74E0"/>
    <w:rsid w:val="121B7678"/>
    <w:rsid w:val="126D3627"/>
    <w:rsid w:val="126E1F51"/>
    <w:rsid w:val="14545389"/>
    <w:rsid w:val="15C803CE"/>
    <w:rsid w:val="1620106D"/>
    <w:rsid w:val="16CD49B3"/>
    <w:rsid w:val="170E3922"/>
    <w:rsid w:val="17AE76BF"/>
    <w:rsid w:val="186D16BC"/>
    <w:rsid w:val="18DD1A8B"/>
    <w:rsid w:val="194411FB"/>
    <w:rsid w:val="1ACD08AB"/>
    <w:rsid w:val="1CAC16AF"/>
    <w:rsid w:val="1CC367F0"/>
    <w:rsid w:val="1D967319"/>
    <w:rsid w:val="1DAF2338"/>
    <w:rsid w:val="1DBD0F4D"/>
    <w:rsid w:val="1E0B06DC"/>
    <w:rsid w:val="1E3A0D98"/>
    <w:rsid w:val="1F9220A2"/>
    <w:rsid w:val="220C0575"/>
    <w:rsid w:val="22422682"/>
    <w:rsid w:val="233C7C9F"/>
    <w:rsid w:val="23721086"/>
    <w:rsid w:val="23857190"/>
    <w:rsid w:val="23E75B9C"/>
    <w:rsid w:val="24711C42"/>
    <w:rsid w:val="25442C13"/>
    <w:rsid w:val="255F4702"/>
    <w:rsid w:val="26B025B2"/>
    <w:rsid w:val="27983FEE"/>
    <w:rsid w:val="288C70F7"/>
    <w:rsid w:val="28A374C5"/>
    <w:rsid w:val="28D11DBE"/>
    <w:rsid w:val="2ABC25ED"/>
    <w:rsid w:val="2ACA2C81"/>
    <w:rsid w:val="2B3D582F"/>
    <w:rsid w:val="2BED175F"/>
    <w:rsid w:val="2CC50C78"/>
    <w:rsid w:val="2D0F45C8"/>
    <w:rsid w:val="2D401644"/>
    <w:rsid w:val="2EF81DE8"/>
    <w:rsid w:val="2F140036"/>
    <w:rsid w:val="2F526FF0"/>
    <w:rsid w:val="2FAF5BAA"/>
    <w:rsid w:val="2FB8225B"/>
    <w:rsid w:val="306A2D26"/>
    <w:rsid w:val="30FD7916"/>
    <w:rsid w:val="31457F70"/>
    <w:rsid w:val="348D57A4"/>
    <w:rsid w:val="34BB602B"/>
    <w:rsid w:val="372C6B57"/>
    <w:rsid w:val="37FE39FA"/>
    <w:rsid w:val="383B19CA"/>
    <w:rsid w:val="38B95788"/>
    <w:rsid w:val="392E5F68"/>
    <w:rsid w:val="39CE051A"/>
    <w:rsid w:val="3BCF04B9"/>
    <w:rsid w:val="3BFB72D0"/>
    <w:rsid w:val="3C855259"/>
    <w:rsid w:val="3CD849AB"/>
    <w:rsid w:val="3CF44A60"/>
    <w:rsid w:val="3D7F5230"/>
    <w:rsid w:val="3DD11BB1"/>
    <w:rsid w:val="3FFA719D"/>
    <w:rsid w:val="401214F3"/>
    <w:rsid w:val="40193CCA"/>
    <w:rsid w:val="40EE36AC"/>
    <w:rsid w:val="41DC16A8"/>
    <w:rsid w:val="42195173"/>
    <w:rsid w:val="422A0D21"/>
    <w:rsid w:val="42F83AF0"/>
    <w:rsid w:val="4352247E"/>
    <w:rsid w:val="442102EF"/>
    <w:rsid w:val="46211217"/>
    <w:rsid w:val="466A7BB7"/>
    <w:rsid w:val="470D5A07"/>
    <w:rsid w:val="491647EC"/>
    <w:rsid w:val="49263E54"/>
    <w:rsid w:val="496C0D3B"/>
    <w:rsid w:val="4AEF36A3"/>
    <w:rsid w:val="4C0F1CF4"/>
    <w:rsid w:val="4CAF011C"/>
    <w:rsid w:val="4D145658"/>
    <w:rsid w:val="4D2732C1"/>
    <w:rsid w:val="4DA22C22"/>
    <w:rsid w:val="4E181FA3"/>
    <w:rsid w:val="4F290B39"/>
    <w:rsid w:val="4F2D3FF4"/>
    <w:rsid w:val="510438C7"/>
    <w:rsid w:val="51330824"/>
    <w:rsid w:val="51F70CD0"/>
    <w:rsid w:val="52D25830"/>
    <w:rsid w:val="535B0F02"/>
    <w:rsid w:val="54CF375F"/>
    <w:rsid w:val="54D85A30"/>
    <w:rsid w:val="54EF746F"/>
    <w:rsid w:val="55483C36"/>
    <w:rsid w:val="57EA232B"/>
    <w:rsid w:val="580439D6"/>
    <w:rsid w:val="58F602CC"/>
    <w:rsid w:val="59062745"/>
    <w:rsid w:val="59D93B29"/>
    <w:rsid w:val="5AE17436"/>
    <w:rsid w:val="5C9C3203"/>
    <w:rsid w:val="5CBB0C7B"/>
    <w:rsid w:val="5CDF3569"/>
    <w:rsid w:val="5D2C1A21"/>
    <w:rsid w:val="5E0313E6"/>
    <w:rsid w:val="5E1905EF"/>
    <w:rsid w:val="5EE34883"/>
    <w:rsid w:val="5F0B295E"/>
    <w:rsid w:val="5F257F36"/>
    <w:rsid w:val="5F58213C"/>
    <w:rsid w:val="603F19D6"/>
    <w:rsid w:val="6176640B"/>
    <w:rsid w:val="61892999"/>
    <w:rsid w:val="61E052BF"/>
    <w:rsid w:val="62841BF1"/>
    <w:rsid w:val="633D5090"/>
    <w:rsid w:val="635F1A89"/>
    <w:rsid w:val="63751771"/>
    <w:rsid w:val="6429570C"/>
    <w:rsid w:val="64836D60"/>
    <w:rsid w:val="64BA2983"/>
    <w:rsid w:val="64F81BB6"/>
    <w:rsid w:val="679766E8"/>
    <w:rsid w:val="67B6197E"/>
    <w:rsid w:val="67FD59B5"/>
    <w:rsid w:val="68A43EEA"/>
    <w:rsid w:val="69574EC3"/>
    <w:rsid w:val="69654D4B"/>
    <w:rsid w:val="6A6475C1"/>
    <w:rsid w:val="6AE04146"/>
    <w:rsid w:val="6B8C75E3"/>
    <w:rsid w:val="6DE07114"/>
    <w:rsid w:val="6E223AD8"/>
    <w:rsid w:val="6F273323"/>
    <w:rsid w:val="6F744669"/>
    <w:rsid w:val="70987794"/>
    <w:rsid w:val="71BE409B"/>
    <w:rsid w:val="737C657A"/>
    <w:rsid w:val="74003DC2"/>
    <w:rsid w:val="741F26FA"/>
    <w:rsid w:val="74D02F66"/>
    <w:rsid w:val="751D01B6"/>
    <w:rsid w:val="75336A51"/>
    <w:rsid w:val="761B78A5"/>
    <w:rsid w:val="783A771B"/>
    <w:rsid w:val="7AB44288"/>
    <w:rsid w:val="7BE76ACB"/>
    <w:rsid w:val="7CAB72B2"/>
    <w:rsid w:val="7D1F6411"/>
    <w:rsid w:val="7D201B0A"/>
    <w:rsid w:val="7D2B2191"/>
    <w:rsid w:val="7D676953"/>
    <w:rsid w:val="7DEC2F58"/>
    <w:rsid w:val="7E4B372F"/>
    <w:rsid w:val="7E507B9F"/>
    <w:rsid w:val="7E6146CF"/>
    <w:rsid w:val="7E6C7499"/>
    <w:rsid w:val="7EEE64A4"/>
    <w:rsid w:val="7EFF361F"/>
    <w:rsid w:val="7FBE3E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after="1" w:line="259" w:lineRule="auto"/>
      <w:ind w:left="10" w:right="166" w:hanging="10"/>
      <w:jc w:val="center"/>
      <w:outlineLvl w:val="0"/>
    </w:pPr>
    <w:rPr>
      <w:rFonts w:ascii="微软雅黑" w:hAnsi="微软雅黑" w:eastAsia="微软雅黑" w:cs="微软雅黑"/>
      <w:color w:val="000000"/>
      <w:kern w:val="2"/>
      <w:sz w:val="44"/>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overflowPunct w:val="0"/>
      <w:spacing w:line="560" w:lineRule="exact"/>
      <w:ind w:firstLine="640" w:firstLineChars="200"/>
    </w:pPr>
    <w:rPr>
      <w:rFonts w:ascii="仿宋_GB2312" w:hAns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0"/>
    <w:rPr>
      <w:b/>
    </w:rPr>
  </w:style>
  <w:style w:type="character" w:styleId="10">
    <w:name w:val="page number"/>
    <w:basedOn w:val="8"/>
    <w:qFormat/>
    <w:uiPriority w:val="0"/>
  </w:style>
  <w:style w:type="paragraph" w:customStyle="1" w:styleId="11">
    <w:name w:val="首行缩进"/>
    <w:basedOn w:val="1"/>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9520</Words>
  <Characters>9680</Characters>
  <Lines>0</Lines>
  <Paragraphs>0</Paragraphs>
  <TotalTime>32</TotalTime>
  <ScaleCrop>false</ScaleCrop>
  <LinksUpToDate>false</LinksUpToDate>
  <CharactersWithSpaces>9958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2022-05-10T07:18:00Z</dcterms:created>
  <dc:creator>Administrator</dc:creator>
  <cp:lastModifiedBy>szw</cp:lastModifiedBy>
  <cp:lastPrinted>2023-09-05T03:59:00Z</cp:lastPrinted>
  <dcterms:modified xsi:type="dcterms:W3CDTF">2023-09-14T10:41:35Z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3898EECF71FA47DC8624529338BBBEDF_13</vt:lpwstr>
  </property>
</Properties>
</file>